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567"/>
        <w:jc w:val="center"/>
        <w:shd w:val="clear" w:color="auto" w:fill="ffffff"/>
        <w:rPr>
          <w:color w:val="ed7d31" w:themeColor="accent2"/>
        </w:rPr>
      </w:pPr>
      <w:r>
        <w:rPr>
          <w:b/>
          <w:bCs/>
          <w:color w:val="ed7d31" w:themeColor="accent2"/>
          <w:sz w:val="27"/>
          <w:szCs w:val="27"/>
        </w:rPr>
        <w:t xml:space="preserve">Обучение в 202</w:t>
      </w:r>
      <w:r>
        <w:rPr>
          <w:b/>
          <w:bCs/>
          <w:color w:val="ed7d31" w:themeColor="accent2"/>
          <w:sz w:val="27"/>
          <w:szCs w:val="27"/>
        </w:rPr>
        <w:t xml:space="preserve">6</w:t>
      </w:r>
      <w:r>
        <w:rPr>
          <w:b/>
          <w:bCs/>
          <w:color w:val="ed7d31" w:themeColor="accent2"/>
          <w:sz w:val="27"/>
          <w:szCs w:val="27"/>
        </w:rPr>
        <w:t xml:space="preserve"> году</w:t>
      </w:r>
      <w:r>
        <w:rPr>
          <w:color w:val="ed7d31" w:themeColor="accent2"/>
        </w:rPr>
      </w:r>
    </w:p>
    <w:p>
      <w:pPr>
        <w:ind w:left="-567"/>
        <w:jc w:val="center"/>
        <w:shd w:val="clear" w:color="auto" w:fill="ffffff"/>
        <w:rPr>
          <w:color w:val="ed7d31" w:themeColor="accent2"/>
        </w:rPr>
      </w:pPr>
      <w:r>
        <w:rPr>
          <w:color w:val="ed7d31" w:themeColor="accent2"/>
        </w:rPr>
      </w:r>
      <w:r>
        <w:rPr>
          <w:color w:val="ed7d31" w:themeColor="accent2"/>
        </w:rPr>
      </w:r>
    </w:p>
    <w:p>
      <w:pPr>
        <w:ind w:right="738" w:hanging="10"/>
        <w:jc w:val="center"/>
        <w:rPr>
          <w:b/>
        </w:rPr>
      </w:pPr>
      <w:r>
        <w:rPr>
          <w:b/>
        </w:rPr>
        <w:t xml:space="preserve">Программы повышения квалификации для руководителей аудита общественно значимой организации из числа указанных в </w:t>
      </w:r>
      <w:r>
        <w:rPr>
          <w:b/>
        </w:rPr>
        <w:t xml:space="preserve">п.п</w:t>
      </w:r>
      <w:r>
        <w:rPr>
          <w:b/>
        </w:rPr>
        <w:t xml:space="preserve">. 3-5 ч. 1 ст. 5.1 ФЗ «Об аудиторской деятельности» или претендующими на назначение руководителем такого аудита.</w:t>
      </w:r>
      <w:r>
        <w:rPr>
          <w:b/>
        </w:rPr>
      </w:r>
    </w:p>
    <w:p>
      <w:pPr>
        <w:ind w:left="-567"/>
        <w:jc w:val="both"/>
        <w:shd w:val="clear" w:color="auto" w:fill="ffffff"/>
      </w:pPr>
      <w:r/>
      <w:r/>
    </w:p>
    <w:tbl>
      <w:tblPr>
        <w:tblW w:w="10631" w:type="dxa"/>
        <w:tblInd w:w="-859" w:type="dxa"/>
        <w:tblLayout w:type="fixed"/>
        <w:tblCellMar>
          <w:left w:w="60" w:type="dxa"/>
          <w:top w:w="116" w:type="dxa"/>
          <w:right w:w="7" w:type="dxa"/>
          <w:bottom w:w="23" w:type="dxa"/>
        </w:tblCellMar>
        <w:tblLook w:val="04A0" w:firstRow="1" w:lastRow="0" w:firstColumn="1" w:lastColumn="0" w:noHBand="0" w:noVBand="1"/>
      </w:tblPr>
      <w:tblGrid>
        <w:gridCol w:w="561"/>
        <w:gridCol w:w="1141"/>
        <w:gridCol w:w="5953"/>
        <w:gridCol w:w="851"/>
        <w:gridCol w:w="2125"/>
      </w:tblGrid>
      <w:tr>
        <w:tblPrEx/>
        <w:trPr>
          <w:trHeight w:val="746"/>
        </w:trPr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7" w:space="0"/>
            </w:tcBorders>
            <w:tcW w:w="1063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/>
            <w:bookmarkStart w:id="0" w:name="_Hlk135927272"/>
            <w:r>
              <w:rPr>
                <w:b/>
              </w:rPr>
              <w:t xml:space="preserve">Программы повышения квалификации для руководителей аудита общественно значимой организации из числа указанных в </w:t>
            </w:r>
            <w:r>
              <w:rPr>
                <w:b/>
              </w:rPr>
              <w:t xml:space="preserve">п.п</w:t>
            </w:r>
            <w:r>
              <w:rPr>
                <w:b/>
              </w:rPr>
              <w:t xml:space="preserve">. 3-5 ч. 1 ст. 5.1 ФЗ «Об аудиторской деятельности» или претендующими на назначение руководителем такого аудита</w:t>
            </w:r>
            <w:r/>
          </w:p>
        </w:tc>
      </w:tr>
      <w:tr>
        <w:tblPrEx/>
        <w:trPr>
          <w:trHeight w:val="746"/>
        </w:trPr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7" w:space="0"/>
            </w:tcBorders>
            <w:tcW w:w="1063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rPr>
                <w:b/>
              </w:rPr>
              <w:t xml:space="preserve">Раздел 4. Программы повышения квалификации по тематике экономической деятельности: кредитные организации, головные кредитные организации банковских групп, профессиональные участники рынка ценных бумаг (дилеры, форекс-дилеры)</w:t>
            </w:r>
            <w:bookmarkEnd w:id="0"/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t xml:space="preserve">8</w:t>
            </w:r>
            <w:r>
              <w:t xml:space="preserve">7</w:t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Актуальные вопросы аудита бухгалтерской (финансовой) отчетности кредитных организаций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637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от 25.08.2023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Практика применения МСА: формирование аудиторского заключения кредитных организаций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отраслевого </w:t>
            </w:r>
            <w:r/>
          </w:p>
          <w:p>
            <w:pPr>
              <w:jc w:val="center"/>
            </w:pPr>
            <w:r>
              <w:t xml:space="preserve">стандарта бухгалтерского учета вознаграждений работникам в кредитных организациях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/>
            <w:hyperlink r:id="rId13" w:tooltip="https://auditor-sro.org/activity/povyshenie_kvalifikacii/programmy_povysheniya_kvalifikacii_auditorov/obuchenie_2020/#6-3-19" w:anchor="6-3-19" w:history="1">
              <w:r>
                <w:t xml:space="preserve">Банки: организация деятельности, особенност</w:t>
              </w:r>
            </w:hyperlink>
            <w:r/>
            <w:hyperlink r:id="rId14" w:tooltip="https://auditor-sro.org/activity/povyshenie_kvalifikacii/programmy_povysheniya_kvalifikacii_auditorov/obuchenie_2020/#6-3-19" w:anchor="6-3-19" w:history="1">
              <w:r>
                <w:t xml:space="preserve">и</w:t>
              </w:r>
            </w:hyperlink>
            <w:r/>
            <w:hyperlink r:id="rId15" w:tooltip="https://auditor-sro.org/activity/povyshenie_kvalifikacii/programmy_povysheniya_kvalifikacii_auditorov/obuchenie_2020/#6-3-19" w:anchor="6-3-19" w:history="1">
              <w:r>
                <w:t xml:space="preserve"> </w:t>
              </w:r>
            </w:hyperlink>
            <w:r/>
            <w:hyperlink r:id="rId16" w:tooltip="https://auditor-sro.org/activity/povyshenie_kvalifikacii/programmy_povysheniya_kvalifikacii_auditorov/obuchenie_2020/#6-3-19" w:anchor="6-3-19" w:history="1">
              <w:r>
                <w:t xml:space="preserve">бухгалтерского учета, налогообложения и аудит</w:t>
              </w:r>
            </w:hyperlink>
            <w:r/>
            <w:hyperlink r:id="rId17" w:tooltip="https://auditor-sro.org/activity/povyshenie_kvalifikacii/programmy_povysheniya_kvalifikacii_auditorov/obuchenie_2020/#6-3-19" w:anchor="6-3-19" w:history="1">
              <w:r>
                <w:t xml:space="preserve">а</w:t>
              </w:r>
            </w:hyperlink>
            <w:r/>
            <w:hyperlink r:id="rId18" w:tooltip="https://auditor-sro.org/activity/povyshenie_kvalifikacii/programmy_povysheniya_kvalifikacii_auditorov/obuchenie_2020/#6-3-19" w:anchor="6-3-19" w:history="1">
              <w:r>
                <w:t xml:space="preserve">  </w:t>
              </w:r>
            </w:hyperlink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Отраслевые стандарты бухгалтерского учета: кредитные организации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Основы бухгалтерского учета и финансовой </w:t>
            </w:r>
            <w:r/>
          </w:p>
          <w:p>
            <w:pPr>
              <w:ind w:firstLine="83"/>
              <w:jc w:val="center"/>
            </w:pPr>
            <w:r>
              <w:t xml:space="preserve">отчетности кредитных финансовых организаций. Особенности аудита КФО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Состав и содержание финансовой отчетности по </w:t>
            </w:r>
            <w:r/>
          </w:p>
          <w:p>
            <w:pPr>
              <w:ind w:firstLine="83"/>
              <w:jc w:val="center"/>
            </w:pPr>
            <w:r>
              <w:t xml:space="preserve">МСФО кредитных организаций: представление информации и ее дополнительное раскрытие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Новые МСФО. Актуальные вопросы применения при аудите кредитных организаций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</w:t>
            </w:r>
            <w: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МСФО (IFRS) 9: Финансовые инструменты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</w:t>
            </w: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6-4-09/1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МСФО (IFRS) 9: Финансовые инструменты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</w:t>
            </w: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План счетов и отраслевые стандарты бухгалтерского учета и отчетности для профессиональных участников рынка ценных бумаг и товарного рынка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rPr>
                <w:lang w:val="en-US"/>
              </w:rP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646</w:t>
            </w:r>
            <w:r/>
          </w:p>
          <w:p>
            <w:pPr>
              <w:jc w:val="center"/>
            </w:pPr>
            <w:r>
              <w:t xml:space="preserve">от 20.10.2023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</w:t>
            </w: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6-4-11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Актуальные вопросы применения отраслевых стандартов бухгалтерского учета, МСФО, последние изменения в налогообложении и законодательстве при аудите кредитных организаций, головных кредитных организаций банковских групп, дилеров, форекс-дилеров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677 </w:t>
            </w:r>
            <w:r/>
          </w:p>
          <w:p>
            <w:pPr>
              <w:jc w:val="center"/>
            </w:pPr>
            <w:r>
              <w:t xml:space="preserve">от 19.04.2024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9</w:t>
            </w:r>
            <w:r>
              <w:rPr>
                <w:color w:val="000000" w:themeColor="text1"/>
              </w:rPr>
              <w:t xml:space="preserve">9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6-4-12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Актуальные требования и лучшие практики аудита кредитных организаций: профессиональный скептицизм, применение МСА, документирование и соблюдение нормативных требований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протокол 751 </w:t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 19.09.2025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6-4-12/1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Актуальные требования и лучшие практики аудита кредитных организаций: профессиональный скептицизм, применение МСА, документирование и соблюдение нормативных требований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протокол 751 </w:t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 19.09.2025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746"/>
        </w:trPr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7" w:space="0"/>
            </w:tcBorders>
            <w:tcW w:w="1063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/>
            <w:bookmarkStart w:id="1" w:name="_Hlk157165654"/>
            <w:r>
              <w:rPr>
                <w:b/>
              </w:rPr>
              <w:t xml:space="preserve">Раздел 5. Программы повышения квалификации по тематике экономической деятельности: страховые организации, общества взаимного страхования,</w:t>
            </w:r>
            <w:r>
              <w:rPr>
                <w:b/>
              </w:rPr>
            </w:r>
          </w:p>
          <w:p>
            <w:pPr>
              <w:ind w:firstLine="83"/>
              <w:jc w:val="center"/>
              <w:rPr>
                <w:b/>
              </w:rPr>
            </w:pPr>
            <w:r>
              <w:rPr>
                <w:b/>
              </w:rPr>
              <w:t xml:space="preserve">негосударственные пенсионные фонды</w:t>
            </w:r>
            <w:bookmarkEnd w:id="1"/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t xml:space="preserve">101</w:t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Практика применения МСА: формирование аудиторского заключения страховых организаций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4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от 23.06.2023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102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Актуальные вопросы применения отраслевого стандарта бухгалтерского учета «Порядок составления бухгалтерской (финансовой) отчетности страховых организаций и обществ взаимного страхования»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16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от 23.06.2023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Отраслевые стандарты бухгалтерского учета: 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страховые организации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20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от 23.06.2023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Страховые организации: организация деятельности, особенности бухгалтерского учета, налогообложения и аудита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40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от 23.06.2023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</w:t>
            </w:r>
            <w: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Состав и содержание финансовой отчетности по МСФО страховых организаций: представление информации и 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ее дополнительное раскрытие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8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от 23.06.2023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</w:t>
            </w: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Новые МСФО. Актуальные вопросы применения при аудите страховых организаций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8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от 23.06.2023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</w:t>
            </w: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МСФО (IFRS) 17: Договоры страхования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8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от 23.06.2023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</w:t>
            </w: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6-5-07/1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МСФО (IFRS) 17: Договоры страхования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t xml:space="preserve">4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ind w:firstLine="83"/>
              <w:jc w:val="center"/>
              <w:rPr>
                <w:b/>
              </w:rPr>
            </w:pPr>
            <w:r>
              <w:t xml:space="preserve">от 23.06.2023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</w:t>
            </w:r>
            <w: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Существенные для аудита негосударственного пенсионного фонда (НПФ) регуляторные и надзорные требования к его деятельности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621</w:t>
            </w:r>
            <w:r/>
          </w:p>
          <w:p>
            <w:pPr>
              <w:jc w:val="center"/>
            </w:pPr>
            <w:r>
              <w:t xml:space="preserve">от 19.05.2023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6-5-09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Имущество НПФ. Размещение пенсионных резервов, инвестирование пенсионных накоплений: нормативы, требования, контроль и надзор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621</w:t>
            </w:r>
            <w:r/>
          </w:p>
          <w:p>
            <w:pPr>
              <w:jc w:val="center"/>
            </w:pPr>
            <w:r>
              <w:t xml:space="preserve">от 19.05.2023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Внутренний контроль, управление рисками, отчетность и раскрытие информации НПФ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621</w:t>
            </w:r>
            <w:r/>
          </w:p>
          <w:p>
            <w:pPr>
              <w:jc w:val="center"/>
            </w:pPr>
            <w:r>
              <w:t xml:space="preserve">от 19.05.2023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Бухгалтерский учет, финансовая отчетность в негосударственном пенсионном фонде (НПФ): применение отраслевых стандартов бухгалтерского учета, МСФО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32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</w:pPr>
            <w:r>
              <w:t xml:space="preserve">протокол 785</w:t>
            </w:r>
            <w:r/>
          </w:p>
          <w:p>
            <w:pPr>
              <w:jc w:val="center"/>
            </w:pPr>
            <w:r>
              <w:t xml:space="preserve">от 24.04.2026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Бухгалтерская (финансовая) отчетность НПФ. Особенности налогообложения НПФ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621</w:t>
            </w:r>
            <w:r/>
          </w:p>
          <w:p>
            <w:pPr>
              <w:jc w:val="center"/>
            </w:pPr>
            <w:r>
              <w:t xml:space="preserve">от 19.05.2023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14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Особенности аудита негосударственного пенсионного фонда. Применение в аудите НПФ международных стандартов аудита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621</w:t>
            </w:r>
            <w:r/>
          </w:p>
          <w:p>
            <w:pPr>
              <w:jc w:val="center"/>
            </w:pPr>
            <w:r>
              <w:t xml:space="preserve">от 19.05.2023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6-5-14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Особенности проверки достоверности финансовой отчетности, информации, соблюдения установленных норм, требований в процессе аудита НПФ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621</w:t>
            </w:r>
            <w:r/>
          </w:p>
          <w:p>
            <w:pPr>
              <w:jc w:val="center"/>
            </w:pPr>
            <w:r>
              <w:t xml:space="preserve">от 19.05.2023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1</w:t>
            </w: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6-5-15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Актуальные вопросы применения отраслевых стандартов бухгалтерского учета, МСФО, последние изменения в налогообложении и законодательстве при аудите страховых организаций, обществ взаимного страхования,</w:t>
            </w:r>
            <w:r/>
          </w:p>
          <w:p>
            <w:pPr>
              <w:ind w:firstLine="83"/>
              <w:jc w:val="center"/>
            </w:pPr>
            <w:r>
              <w:t xml:space="preserve">негосударственных пенсионных фондов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677 </w:t>
            </w:r>
            <w:r/>
          </w:p>
          <w:p>
            <w:pPr>
              <w:jc w:val="center"/>
            </w:pPr>
            <w:r>
              <w:t xml:space="preserve">от 19.04.2024</w:t>
            </w:r>
            <w:r/>
          </w:p>
        </w:tc>
      </w:tr>
      <w:tr>
        <w:tblPrEx/>
        <w:trPr>
          <w:trHeight w:val="746"/>
        </w:trPr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7" w:space="0"/>
            </w:tcBorders>
            <w:tcW w:w="10631" w:type="dxa"/>
            <w:vAlign w:val="center"/>
            <w:textDirection w:val="lrTb"/>
            <w:noWrap w:val="false"/>
          </w:tcPr>
          <w:p>
            <w:pPr>
              <w:ind w:firstLine="83"/>
              <w:jc w:val="center"/>
              <w:rPr>
                <w:b/>
              </w:rPr>
            </w:pPr>
            <w:r>
              <w:rPr>
                <w:b/>
              </w:rPr>
              <w:t xml:space="preserve">Раздел 6. Программы повышения квалификации по тематике экономической деятельности: профессиональные участник</w:t>
            </w:r>
            <w:r>
              <w:rPr>
                <w:b/>
              </w:rPr>
              <w:t xml:space="preserve">и рынка ценных бумаг (брокеры, управляющие, инвестиционные советники, депозитарии, регистраторы), клиринговые организации, организаторы торговли, управляющие компании инвестиционных фондов, паевых инвестиционных фондов и негосударственных пенсионных фондов</w:t>
            </w:r>
            <w:r>
              <w:rPr>
                <w:b/>
              </w:rPr>
            </w:r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lang w:val="en-US"/>
              </w:rPr>
              <w:t xml:space="preserve">1</w:t>
            </w:r>
            <w:r>
              <w:t xml:space="preserve">1</w:t>
            </w: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Практика применения МСА: формирование аудиторского заключения </w:t>
            </w:r>
            <w:r>
              <w:t xml:space="preserve">некредитных</w:t>
            </w:r>
            <w:r>
              <w:t xml:space="preserve"> финансовых организаций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lang w:val="en-US"/>
              </w:rPr>
              <w:t xml:space="preserve">1</w:t>
            </w:r>
            <w:r>
              <w:t xml:space="preserve">1</w:t>
            </w: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отраслевого стандарта бухгалтерского учета «Порядок составления БФО профессиональных участников рынка ценных бумаг, акционерных инвестиционных фондов, организаторов торговли, центральных контрагентов, клиринговых о</w:t>
            </w:r>
            <w:r>
              <w:t xml:space="preserve">рганизаций, специализированных депозитариев инвестиционного фонда, паевого инвестиционного фонда и негосударственного пенсионного фонда, управляющих компаний инвестиционного фонда, бюро кредитных историй, кредитных рейтинговых агентств, страховых брокеров»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1</w:t>
            </w:r>
            <w: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отраслевых стандартов бухгалтерского учета при аудите бухгалтерской отчетности </w:t>
            </w:r>
            <w:r>
              <w:t xml:space="preserve">некредитных</w:t>
            </w:r>
            <w:r>
              <w:t xml:space="preserve"> финансовых организаций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677</w:t>
            </w:r>
            <w:r/>
          </w:p>
          <w:p>
            <w:pPr>
              <w:jc w:val="center"/>
            </w:pPr>
            <w:r>
              <w:t xml:space="preserve">от 19.04.2024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lang w:eastAsia="en-US"/>
              </w:rPr>
              <w:t xml:space="preserve">Актуальные вопросы применения отраслевых стандартов бухгалтерского учета при аудите бухгалтерской отчетности </w:t>
            </w:r>
            <w:r>
              <w:rPr>
                <w:lang w:eastAsia="en-US"/>
              </w:rPr>
              <w:t xml:space="preserve">некредитных</w:t>
            </w:r>
            <w:r>
              <w:rPr>
                <w:lang w:eastAsia="en-US"/>
              </w:rPr>
              <w:t xml:space="preserve"> финансовых организаций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677</w:t>
            </w:r>
            <w:r/>
          </w:p>
          <w:p>
            <w:pPr>
              <w:jc w:val="center"/>
            </w:pPr>
            <w:r>
              <w:t xml:space="preserve">от 19.04.2024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21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Отраслевые стандарты бухгалтерского учета: </w:t>
            </w:r>
            <w:r>
              <w:t xml:space="preserve">некредитные</w:t>
            </w:r>
            <w:r>
              <w:t xml:space="preserve"> финансовые организации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22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6-6-06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Некредитные</w:t>
            </w:r>
            <w:r>
              <w:t xml:space="preserve"> финансовые организации: организация деятельности, особенности бухгалтерского учета, налогообложения и аудита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ind w:right="64"/>
              <w:jc w:val="center"/>
            </w:pPr>
            <w:r>
              <w:t xml:space="preserve">протокол 731</w:t>
            </w:r>
            <w:r/>
          </w:p>
          <w:p>
            <w:pPr>
              <w:jc w:val="center"/>
            </w:pPr>
            <w:r>
              <w:t xml:space="preserve">от 25.04.2025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23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6-6-07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Состав и содержание финансовой отчетности по МСФО </w:t>
            </w:r>
            <w:r>
              <w:t xml:space="preserve">некредитных</w:t>
            </w:r>
            <w:r>
              <w:t xml:space="preserve"> организаций: представление информации </w:t>
            </w:r>
            <w:r/>
          </w:p>
          <w:p>
            <w:pPr>
              <w:jc w:val="center"/>
            </w:pPr>
            <w:r>
              <w:t xml:space="preserve">и ее дополнительное раскрытие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Новые МСФО. Актуальные вопросы применения при аудите </w:t>
            </w:r>
            <w:r>
              <w:t xml:space="preserve">некредитных</w:t>
            </w:r>
            <w:r>
              <w:t xml:space="preserve"> организаций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2</w:t>
            </w:r>
            <w: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6-6-09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Анализ бухгалтерской (финансовой) отчетности </w:t>
            </w:r>
            <w:r>
              <w:t xml:space="preserve">некредитных</w:t>
            </w:r>
            <w:r>
              <w:t xml:space="preserve"> финансовых организаций с целью оценки возможной ее фальсификации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2</w:t>
            </w: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6-6-10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отраслевых стандартов бухгалтерского учета, МСФО, последние изменения в налогообложении и законодательств</w:t>
            </w:r>
            <w:r>
              <w:t xml:space="preserve">е при аудите брокеров, управляющих, инвестиционных советников, депозитариев, держателей реестра, клиринговых организаций, организаторов торговли, управляющих компаний инвестиционных фондов, паевых инвестиционных фондов и негосударственных пенсионных фондов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677 </w:t>
            </w:r>
            <w:r/>
          </w:p>
          <w:p>
            <w:pPr>
              <w:jc w:val="center"/>
            </w:pPr>
            <w:r>
              <w:t xml:space="preserve">от 19.04.2024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2</w:t>
            </w: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6-6-11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Организованные торги на товарном и финансовом рынках, клиринговая деятельность: правовое регулирование, особенности осуществления, аудит (базовая программа)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684 </w:t>
            </w:r>
            <w:r/>
          </w:p>
          <w:p>
            <w:pPr>
              <w:jc w:val="center"/>
            </w:pPr>
            <w:r>
              <w:t xml:space="preserve">от 21.06.2024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2</w:t>
            </w: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6-6-12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Организованные торги на товарном и финансовом рынках, клиринговая деятельность: правовое регулирование, особенности осуществления, аудит (углубленная программа)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684 </w:t>
            </w:r>
            <w:r/>
          </w:p>
          <w:p>
            <w:pPr>
              <w:jc w:val="center"/>
            </w:pPr>
            <w:r>
              <w:t xml:space="preserve">от 21.06.2024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</w:t>
            </w:r>
            <w: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6-6-13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Актуальные требования и лучшие практики аудита финансовой отчетности профессиональных участников рынка ценных бумаг: регуляторные изменения, новые финансовые инструменты и современные технологии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756 </w:t>
            </w:r>
            <w:r/>
          </w:p>
          <w:p>
            <w:pPr>
              <w:jc w:val="center"/>
            </w:pPr>
            <w:r>
              <w:t xml:space="preserve">от 17.10.2025</w:t>
            </w:r>
            <w:r/>
          </w:p>
        </w:tc>
      </w:tr>
      <w:tr>
        <w:tblPrEx/>
        <w:trPr>
          <w:trHeight w:val="746"/>
        </w:trPr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063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Раздел 7. Программы повышения квалификации по тематике экономической деятельности: головные организации банковских холдингов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t xml:space="preserve">Консолидация финансовой отчетности в соответствии с МСФО. Практика применения на ПК </w:t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708</w:t>
            </w:r>
            <w:r/>
          </w:p>
          <w:p>
            <w:pPr>
              <w:jc w:val="center"/>
            </w:pPr>
            <w:r>
              <w:t xml:space="preserve">от 22.11.2024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6-7-02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МСФО: финансовые инструменты и операции с акционерным капиталом </w:t>
            </w:r>
            <w:r/>
          </w:p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708</w:t>
            </w:r>
            <w:r/>
          </w:p>
          <w:p>
            <w:pPr>
              <w:jc w:val="center"/>
            </w:pPr>
            <w:r>
              <w:t xml:space="preserve">от 22.11.2024</w:t>
            </w:r>
            <w:r/>
          </w:p>
        </w:tc>
      </w:tr>
      <w:tr>
        <w:tblPrEx/>
        <w:trPr>
          <w:trHeight w:val="60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6-7-03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Практика применения МСА: аудиторские процедуры в отношении финансовых инструментов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667</w:t>
            </w:r>
            <w:r/>
          </w:p>
          <w:p>
            <w:pPr>
              <w:jc w:val="center"/>
            </w:pPr>
            <w:r>
              <w:t xml:space="preserve">от 16.02.2024</w:t>
            </w:r>
            <w:r/>
          </w:p>
        </w:tc>
      </w:tr>
      <w:tr>
        <w:tblPrEx/>
        <w:trPr>
          <w:trHeight w:val="5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6-7-04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отраслевых стандартов бухгалтерского учета, МСФО, последние изменения в налогообложении и законодательстве при аудите головных организаций банковских холдингов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677 </w:t>
            </w:r>
            <w:r/>
          </w:p>
          <w:p>
            <w:pPr>
              <w:jc w:val="center"/>
            </w:pPr>
            <w:r>
              <w:t xml:space="preserve">от 19.04.2024</w:t>
            </w:r>
            <w:r/>
          </w:p>
        </w:tc>
      </w:tr>
      <w:tr>
        <w:tblPrEx/>
        <w:trPr>
          <w:trHeight w:val="57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6-7-05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Программа дополнительного повышения квалификации для аудито</w:t>
            </w:r>
            <w:r>
              <w:t xml:space="preserve">ров, претендующих на назначение руководителем аудита общественно-значимых организаций: головные организации банковских холдингов, и не имеющих опыта участия в проведении аудита бухгалтерской (финансовой) отчетности головных организаций банковских холдингов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708 </w:t>
            </w:r>
            <w:r/>
          </w:p>
          <w:p>
            <w:pPr>
              <w:jc w:val="center"/>
            </w:pPr>
            <w:r>
              <w:t xml:space="preserve">от 22.11.2024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6-7-06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Основы бухгалтерского учета и финансовой отчетности головных организаций банковских холдингов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708 </w:t>
            </w:r>
            <w:r/>
          </w:p>
          <w:p>
            <w:pPr>
              <w:jc w:val="center"/>
            </w:pPr>
            <w:r>
              <w:t xml:space="preserve">от 22.11.2024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</w:t>
            </w: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6-7-07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Состав и содержание финансовой отчетности по МСФО головных организаций банковских холдингов: представление информации и ее дополнительное раскрытие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708 </w:t>
            </w:r>
            <w:r/>
          </w:p>
          <w:p>
            <w:pPr>
              <w:jc w:val="center"/>
            </w:pPr>
            <w:r>
              <w:t xml:space="preserve">от 22.11.2024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</w:t>
            </w: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6-7-08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аудита бухгалтерской (финансовой) отчетности головных организаций банковских холдингов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708 </w:t>
            </w:r>
            <w:r/>
          </w:p>
          <w:p>
            <w:pPr>
              <w:jc w:val="center"/>
            </w:pPr>
            <w:r>
              <w:t xml:space="preserve">от 22.11.2024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</w:t>
            </w: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6-7-09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Состав и содержание финансовой отчетности по МСФО кредитных организаций: представление информации и ее дополнительное раскрытие. Консолидированная финансовая отчетность головных организаций банковских холдингов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3</w:t>
            </w:r>
            <w: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Новые МСФО. Актуальные вопросы применения при аудите кредитных организаций, аудите консолидированной финансовой отчетности головных организаций банковских холдингов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МСФО (IFRS) 9: Финансовые инструменты. Вопросы финансовой отчетности головных организаций банковских холдингов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6-7-11/1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МСФО (IFRS) 9: Финансовые инструменты. Вопросы финансовой отчетности головных организаций банковских холдингов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отраслевых стандартов бухгалтерского учета, МСФО, последние изменения в налогообложении и законодательстве при аудите кредитных организаций, головных кредитных </w:t>
            </w:r>
            <w:r>
              <w:t xml:space="preserve">организаций банковских групп, дилеров, форекс-дилеров, головных организаций банковских холдингов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textDirection w:val="lrTb"/>
            <w:noWrap w:val="false"/>
          </w:tcPr>
          <w:p>
            <w:pPr>
              <w:ind w:right="198"/>
              <w:jc w:val="center"/>
            </w:pPr>
            <w:r/>
            <w:r/>
          </w:p>
          <w:p>
            <w:pPr>
              <w:ind w:right="198"/>
              <w:jc w:val="center"/>
            </w:pPr>
            <w:r>
              <w:t xml:space="preserve">6-7-13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textDirection w:val="lrTb"/>
            <w:noWrap w:val="false"/>
          </w:tcPr>
          <w:p>
            <w:pPr>
              <w:jc w:val="center"/>
            </w:pPr>
            <w:r>
              <w:t xml:space="preserve">Современные вызовы в аудите головных организаций банковских холдингов: регуляторные изменения, сравнительный анализ финансовой отчетности и отраслевые тренды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756 </w:t>
            </w:r>
            <w:r/>
          </w:p>
          <w:p>
            <w:pPr>
              <w:jc w:val="center"/>
            </w:pPr>
            <w:r>
              <w:t xml:space="preserve">от 17.10.2025</w:t>
            </w:r>
            <w:r/>
          </w:p>
        </w:tc>
      </w:tr>
      <w:tr>
        <w:tblPrEx/>
        <w:trPr>
          <w:trHeight w:val="746"/>
        </w:trPr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063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Раздел 8. Программы повышения квалификации по тематике экономической деятельности: бюро кредитных историй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6-8-01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hyperlink r:id="rId19" w:tooltip="https://auditor-sro.org/activity/povyshenie_kvalifikacii/programmy_povysheniya_kvalifikacii_auditorov/obuchenie_2020/#6-3-26" w:anchor="6-3-26" w:history="1">
              <w:r>
                <w:t xml:space="preserve"> Порядок бухгалтерского учета и финансово</w:t>
              </w:r>
            </w:hyperlink>
            <w:r/>
            <w:hyperlink r:id="rId20" w:tooltip="https://auditor-sro.org/activity/povyshenie_kvalifikacii/programmy_povysheniya_kvalifikacii_auditorov/obuchenie_2020/#6-3-26" w:anchor="6-3-26" w:history="1">
              <w:r>
                <w:t xml:space="preserve">й</w:t>
              </w:r>
            </w:hyperlink>
            <w:r/>
            <w:hyperlink r:id="rId21" w:tooltip="https://auditor-sro.org/activity/povyshenie_kvalifikacii/programmy_povysheniya_kvalifikacii_auditorov/obuchenie_2020/#6-3-26" w:anchor="6-3-26" w:history="1">
              <w:r>
                <w:t xml:space="preserve"> </w:t>
              </w:r>
            </w:hyperlink>
            <w:r/>
            <w:hyperlink r:id="rId22" w:tooltip="https://auditor-sro.org/activity/povyshenie_kvalifikacii/programmy_povysheniya_kvalifikacii_auditorov/obuchenie_2020/#6-3-26" w:anchor="6-3-26" w:history="1">
              <w:r>
                <w:t xml:space="preserve">отчетности </w:t>
              </w:r>
              <w:r>
                <w:t xml:space="preserve">некредитны</w:t>
              </w:r>
            </w:hyperlink>
            <w:r/>
            <w:hyperlink r:id="rId23" w:tooltip="https://auditor-sro.org/activity/povyshenie_kvalifikacii/programmy_povysheniya_kvalifikacii_auditorov/obuchenie_2020/#6-3-26" w:anchor="6-3-26" w:history="1">
              <w:r>
                <w:t xml:space="preserve">х</w:t>
              </w:r>
            </w:hyperlink>
            <w:r/>
            <w:hyperlink r:id="rId24" w:tooltip="https://auditor-sro.org/activity/povyshenie_kvalifikacii/programmy_povysheniya_kvalifikacii_auditorov/obuchenie_2020/#6-3-26" w:anchor="6-3-26" w:history="1">
              <w:r>
                <w:t xml:space="preserve"> </w:t>
              </w:r>
            </w:hyperlink>
            <w:r/>
            <w:hyperlink r:id="rId25" w:tooltip="https://auditor-sro.org/activity/povyshenie_kvalifikacii/programmy_povysheniya_kvalifikacii_auditorov/obuchenie_2020/#6-3-26" w:anchor="6-3-26" w:history="1">
              <w:r>
                <w:t xml:space="preserve">финансовых организаций</w:t>
              </w:r>
            </w:hyperlink>
            <w:r/>
            <w:hyperlink r:id="rId26" w:tooltip="https://auditor-sro.org/activity/povyshenie_kvalifikacii/programmy_povysheniya_kvalifikacii_auditorov/obuchenie_2020/#6-3-26" w:anchor="6-3-26" w:history="1">
              <w:r>
                <w:t xml:space="preserve">.</w:t>
              </w:r>
            </w:hyperlink>
            <w:r/>
            <w:hyperlink r:id="rId27" w:tooltip="https://auditor-sro.org/activity/povyshenie_kvalifikacii/programmy_povysheniya_kvalifikacii_auditorov/obuchenie_2020/#6-3-26" w:anchor="6-3-26" w:history="1">
              <w:r>
                <w:t xml:space="preserve"> </w:t>
              </w:r>
            </w:hyperlink>
            <w:r/>
            <w:hyperlink r:id="rId28" w:tooltip="https://auditor-sro.org/activity/povyshenie_kvalifikacii/programmy_povysheniya_kvalifikacii_auditorov/obuchenie_2020/#6-3-26" w:anchor="6-3-26" w:history="1">
              <w:r>
                <w:t xml:space="preserve">Аудит. (НФО</w:t>
              </w:r>
            </w:hyperlink>
            <w:r/>
            <w:hyperlink r:id="rId29" w:tooltip="https://auditor-sro.org/activity/povyshenie_kvalifikacii/programmy_povysheniya_kvalifikacii_auditorov/obuchenie_2020/#6-3-26" w:anchor="6-3-26" w:history="1">
              <w:r>
                <w:t xml:space="preserve">)</w:t>
              </w:r>
            </w:hyperlink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627</w:t>
            </w:r>
            <w:r/>
          </w:p>
          <w:p>
            <w:pPr>
              <w:jc w:val="center"/>
            </w:pPr>
            <w:r>
              <w:t xml:space="preserve">от 23.06.2023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</w:t>
            </w:r>
            <w: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6-8-02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отраслевых стандартов бухгалтерского учета, МСФО, последние изменения в налогообложении и законодательстве при аудите бюро кредитных историй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677 </w:t>
            </w:r>
            <w:r/>
          </w:p>
          <w:p>
            <w:pPr>
              <w:jc w:val="center"/>
            </w:pPr>
            <w:r>
              <w:t xml:space="preserve">от 19.04.2024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</w:t>
            </w: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6-8-03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Практика применения МСА: формирование аудиторского заключения </w:t>
            </w:r>
            <w:r>
              <w:t xml:space="preserve">некредитных</w:t>
            </w:r>
            <w:r>
              <w:t xml:space="preserve"> финансовых организаций, бюро кредитных историй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</w:t>
            </w: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6-8-04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отраслевых стандартов бухгалтерского учета при аудите бухгалтерской отчетности </w:t>
            </w:r>
            <w:r>
              <w:t xml:space="preserve">некредитных</w:t>
            </w:r>
            <w:r>
              <w:t xml:space="preserve"> финансовых организаций, бюро кредитных историй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</w:t>
            </w: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6-8-05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отраслевых стандартов бухгалтерского учета при аудите бухгалтерской отчетности </w:t>
            </w:r>
            <w:r>
              <w:t xml:space="preserve">некредитных</w:t>
            </w:r>
            <w:r>
              <w:t xml:space="preserve"> финансовых организаций, бюро кредитных историй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4</w:t>
            </w:r>
            <w: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6-8-06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Некредитные</w:t>
            </w:r>
            <w:r>
              <w:t xml:space="preserve"> финансовые организации, бюро кредитных историй: организация деятельности, особенности бухгалтерского учета, налогообложения и аудита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  <w:tr>
        <w:tblPrEx/>
        <w:trPr>
          <w:trHeight w:val="7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W w:w="5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t xml:space="preserve">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1" w:type="dxa"/>
            <w:vAlign w:val="center"/>
            <w:textDirection w:val="lrTb"/>
            <w:noWrap w:val="false"/>
          </w:tcPr>
          <w:p>
            <w:pPr>
              <w:ind w:right="198"/>
              <w:jc w:val="center"/>
            </w:pPr>
            <w:r>
              <w:t xml:space="preserve">6-8-07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Актуальные вопросы применения отраслевых стандартов бухгалтерского учета, МСФО, последние изменения в налогообложении и законодательстве при аудите брокеров, у</w:t>
            </w:r>
            <w:r>
              <w:t xml:space="preserve">правляющих, инвестиционных советников, депозитариев, держателей реестра, клиринговых организаций, организаторов торговли, управляющих компаний инвестиционных фондов, паевых инвестиционных фондов и негосударственных пенсионных фондов, бюро кредитных историй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протокол 712 </w:t>
            </w:r>
            <w:r/>
          </w:p>
          <w:p>
            <w:pPr>
              <w:jc w:val="center"/>
            </w:pPr>
            <w:r>
              <w:t xml:space="preserve">от 20.12.2024</w:t>
            </w:r>
            <w:r/>
          </w:p>
        </w:tc>
      </w:tr>
    </w:tbl>
    <w:p>
      <w:pPr>
        <w:ind w:left="695" w:right="133" w:hanging="567"/>
      </w:pPr>
      <w:r/>
      <w:r/>
    </w:p>
    <w:p>
      <w:pPr>
        <w:ind w:right="-113"/>
        <w:jc w:val="center"/>
        <w:rPr>
          <w:b/>
          <w:bCs/>
          <w:sz w:val="28"/>
          <w:szCs w:val="28"/>
        </w:rPr>
      </w:pPr>
      <w:r/>
      <w:bookmarkStart w:id="2" w:name="_Hlk112747781"/>
      <w:r/>
      <w:r>
        <w:rPr>
          <w:b/>
          <w:bCs/>
          <w:sz w:val="28"/>
          <w:szCs w:val="28"/>
        </w:rPr>
      </w:r>
    </w:p>
    <w:p>
      <w:pPr>
        <w:ind w:right="-11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11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Программы повышения квалификации для руководителей аудита общественно значимой организации из числа указанных в </w:t>
      </w:r>
      <w:r>
        <w:rPr>
          <w:b/>
          <w:bCs/>
          <w:sz w:val="28"/>
          <w:szCs w:val="28"/>
        </w:rPr>
        <w:t xml:space="preserve">п.п</w:t>
      </w:r>
      <w:r>
        <w:rPr>
          <w:b/>
          <w:bCs/>
          <w:sz w:val="28"/>
          <w:szCs w:val="28"/>
        </w:rPr>
        <w:t xml:space="preserve">. 3-5 ч. 1 ст. 5.1 ФЗ «Об аудиторской деятельности» или претендующими на назначение руководителем такого аудита</w:t>
      </w:r>
      <w:r>
        <w:rPr>
          <w:b/>
          <w:bCs/>
          <w:sz w:val="28"/>
          <w:szCs w:val="28"/>
        </w:rPr>
      </w:r>
    </w:p>
    <w:p>
      <w:pPr>
        <w:ind w:right="-113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Раздел 4. Программы повышения квалификации по тематике экономической деятельности: кредитные организации, головные кредитные организации банковских групп, профессиональные участники рынка ценных бумаг (дилеры, форекс-дилеры)</w:t>
      </w:r>
      <w:r>
        <w:rPr>
          <w:b/>
          <w:bCs/>
          <w:sz w:val="28"/>
          <w:szCs w:val="28"/>
          <w:u w:val="single"/>
        </w:rPr>
      </w:r>
    </w:p>
    <w:p>
      <w:pPr>
        <w:ind w:right="-11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1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6-4-01</w:t>
      </w:r>
      <w:r>
        <w:t xml:space="preserve"> </w:t>
      </w:r>
      <w:r>
        <w:rPr>
          <w:rFonts w:eastAsia="Calibri"/>
          <w:b/>
          <w:lang w:eastAsia="en-US"/>
        </w:rPr>
        <w:t xml:space="preserve">«АКТУАЛЬНЫЕ ВОПРОСЫ АУДИТА БУХГАЛТЕРСКОЙ (ФИНАНСОВОЙ) ОТЧЕТНОСТИ КРЕДИТНЫХ ОРГАНИЗАЦИЙ»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/>
        <w:rPr>
          <w:rFonts w:eastAsia="Calibri"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Продолжительность обучения</w:t>
      </w:r>
      <w:r>
        <w:rPr>
          <w:rFonts w:eastAsia="Calibri"/>
          <w:iCs/>
          <w:lang w:eastAsia="en-US"/>
        </w:rPr>
        <w:t xml:space="preserve"> – 20 академических часов. </w:t>
      </w:r>
      <w:r>
        <w:rPr>
          <w:rFonts w:eastAsia="Calibri"/>
          <w:iCs/>
          <w:lang w:eastAsia="en-US"/>
        </w:rPr>
      </w:r>
    </w:p>
    <w:p>
      <w:pPr>
        <w:jc w:val="both"/>
        <w:spacing w:after="160"/>
        <w:rPr>
          <w:rFonts w:eastAsia="Calibri"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Цель программы</w:t>
      </w:r>
      <w:r>
        <w:rPr>
          <w:rFonts w:eastAsia="Calibri"/>
          <w:b/>
          <w:bCs/>
          <w:iCs/>
          <w:lang w:eastAsia="en-US"/>
        </w:rPr>
        <w:t xml:space="preserve"> </w:t>
      </w:r>
      <w:r>
        <w:rPr>
          <w:rFonts w:eastAsia="Calibri"/>
          <w:iCs/>
          <w:lang w:eastAsia="en-US"/>
        </w:rPr>
        <w:t xml:space="preserve">– изучение влияния текущих изменений (отчетного и сравнительных периодов) в нормативном регулировании и внешней среде кредитных организаций на проведение аудиторской проверки их бухгалтерской (финансовой) отчетности.</w:t>
      </w:r>
      <w:r>
        <w:rPr>
          <w:rFonts w:eastAsia="Calibri"/>
          <w:iCs/>
          <w:lang w:eastAsia="en-US"/>
        </w:rPr>
      </w:r>
    </w:p>
    <w:p>
      <w:pPr>
        <w:jc w:val="both"/>
        <w:spacing w:after="160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1. Учет изменений законодательных и иных нормативных актов, текущих разъяснений и рекомендаций регулирующих органов при осуществлении аудита бухгалтерской (финансовой) отчетности кредитных организаций 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13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Текущие изменения законодательства, регулирующего банковскую деятельность.</w:t>
      </w:r>
      <w:r>
        <w:rPr>
          <w:rFonts w:eastAsia="Calibri"/>
          <w:lang w:eastAsia="en-US"/>
        </w:rPr>
      </w:r>
    </w:p>
    <w:p>
      <w:pPr>
        <w:numPr>
          <w:ilvl w:val="0"/>
          <w:numId w:val="13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Изменения в порядке подготовки и представления кредитными организациями бухгалтерской (финансовой) отчетности и раскрытия информации.</w:t>
      </w:r>
      <w:r>
        <w:rPr>
          <w:rFonts w:eastAsia="Calibri"/>
          <w:lang w:eastAsia="en-US"/>
        </w:rPr>
      </w:r>
    </w:p>
    <w:p>
      <w:pPr>
        <w:numPr>
          <w:ilvl w:val="0"/>
          <w:numId w:val="13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Измененные и вновь принятые нормативные акты Банка России, регулирующие порядок бухгалтерского учета в кредитных организациях. </w:t>
      </w:r>
      <w:r>
        <w:rPr>
          <w:rFonts w:eastAsia="Calibri"/>
          <w:lang w:eastAsia="en-US"/>
        </w:rPr>
      </w:r>
    </w:p>
    <w:p>
      <w:pPr>
        <w:numPr>
          <w:ilvl w:val="0"/>
          <w:numId w:val="133"/>
        </w:numPr>
        <w:contextualSpacing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Разъяснения и рекомендации государственных органов, регулирующих вопросы подготовки и представления бухгалтерской (финансовой) отчетности кредитными организациями, а также ее аудита.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2. Учет изменений законодательных и иных нормативных актов при осуществлении аудита консолидированной финансовой отчетности кредитных организаций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134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Изменения в порядке подготовки и представления кредитными организациями консолидированной финансовой отчетности и раскрытия информации.</w:t>
      </w:r>
      <w:r>
        <w:rPr>
          <w:rFonts w:eastAsia="Calibri"/>
          <w:lang w:eastAsia="en-US"/>
        </w:rPr>
      </w:r>
    </w:p>
    <w:p>
      <w:pPr>
        <w:numPr>
          <w:ilvl w:val="0"/>
          <w:numId w:val="134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Вновь признанные для применения на территории Российской Федерации международные стандарты финансовой отчетности (МСФО), а также изменения в ранее признанные стандарты, и их влияние на консолидированную финансовую отчетность кредитных организаций. </w:t>
      </w:r>
      <w:r>
        <w:rPr>
          <w:rFonts w:eastAsia="Calibri"/>
          <w:lang w:eastAsia="en-US"/>
        </w:rPr>
      </w:r>
    </w:p>
    <w:p>
      <w:pPr>
        <w:numPr>
          <w:ilvl w:val="0"/>
          <w:numId w:val="134"/>
        </w:numPr>
        <w:contextualSpacing/>
        <w:jc w:val="both"/>
        <w:spacing w:before="240"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Разъяснения и рекомендации государственных органов, регулирующих вопросы подготовки и представления консолидированной финансовой отчетности кредитными организациями, а также вопросы применения МСФО в Российской Федерации.</w:t>
      </w:r>
      <w:r>
        <w:rPr>
          <w:rFonts w:eastAsia="Calibri"/>
          <w:lang w:eastAsia="en-US"/>
        </w:rPr>
      </w:r>
    </w:p>
    <w:p>
      <w:pPr>
        <w:jc w:val="both"/>
        <w:spacing w:before="240" w:after="160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3. Учет изменений бизнес-среды и связанных с ней внешних финансовых и нефинансовых рисков при осуществлении аудита бухгалтерской (финансовой) отчетности кредитных организаций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13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рыночных, кредитных рисков, рисков ликвидности, связанных с текущим состоянием валютного, кредитного рынков, рынка ценных бумаг, изменениями ключевой ставки Банка России и другими изменениями внешней среды.</w:t>
      </w:r>
      <w:r>
        <w:rPr>
          <w:rFonts w:eastAsia="Calibri"/>
          <w:lang w:eastAsia="en-US"/>
        </w:rPr>
      </w:r>
    </w:p>
    <w:p>
      <w:pPr>
        <w:numPr>
          <w:ilvl w:val="0"/>
          <w:numId w:val="13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правовых и страновых рисков, рисков, связанных с изменениями обязательных нормативов Банка России и другими изменениями внешней среды.</w:t>
      </w:r>
      <w:r>
        <w:rPr>
          <w:rFonts w:eastAsia="Calibri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Calibri"/>
          <w:sz w:val="12"/>
          <w:szCs w:val="12"/>
          <w:lang w:eastAsia="en-US"/>
        </w:rPr>
      </w:pPr>
      <w:r>
        <w:rPr>
          <w:rFonts w:eastAsia="Calibri"/>
          <w:sz w:val="12"/>
          <w:szCs w:val="12"/>
          <w:lang w:eastAsia="en-US"/>
        </w:rPr>
      </w:r>
      <w:r>
        <w:rPr>
          <w:rFonts w:eastAsia="Calibri"/>
          <w:sz w:val="12"/>
          <w:szCs w:val="12"/>
          <w:lang w:eastAsia="en-US"/>
        </w:rPr>
      </w:r>
    </w:p>
    <w:p>
      <w:pPr>
        <w:jc w:val="both"/>
        <w:spacing w:after="160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4. Влияние законодательных и иных нормативных актов об оказании аудиторских услуг общественно значимым организациям на финансовом рынке </w:t>
      </w:r>
      <w:r>
        <w:rPr>
          <w:rFonts w:eastAsia="Calibri"/>
          <w:b/>
          <w:bCs/>
          <w:lang w:eastAsia="en-US"/>
        </w:rPr>
      </w:r>
    </w:p>
    <w:p>
      <w:pPr>
        <w:numPr>
          <w:ilvl w:val="1"/>
          <w:numId w:val="13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Изменения в порядке оказания аудиторских услуг кредитным организациям, обусловленные вступлением в силу отдельных положений законодательства о регулировании аудиторской деятельности.</w:t>
      </w:r>
      <w:r>
        <w:rPr>
          <w:rFonts w:eastAsia="Calibri"/>
          <w:lang w:eastAsia="en-US"/>
        </w:rPr>
      </w:r>
    </w:p>
    <w:p>
      <w:pPr>
        <w:numPr>
          <w:ilvl w:val="1"/>
          <w:numId w:val="13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Изменения в порядке оказания аудиторских услуг кредитным организациям в связи с принятием нормативных и иных актов Министерством финансов Российской Федерации, Банком России и иными регулирующими органами. </w:t>
      </w:r>
      <w:r>
        <w:rPr>
          <w:rFonts w:eastAsia="Calibri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Calibri"/>
          <w:sz w:val="14"/>
          <w:szCs w:val="14"/>
          <w:lang w:eastAsia="en-US"/>
        </w:rPr>
      </w:pPr>
      <w:r>
        <w:rPr>
          <w:rFonts w:eastAsia="Calibri"/>
          <w:sz w:val="14"/>
          <w:szCs w:val="14"/>
          <w:lang w:eastAsia="en-US"/>
        </w:rPr>
      </w:r>
      <w:r>
        <w:rPr>
          <w:rFonts w:eastAsia="Calibri"/>
          <w:sz w:val="14"/>
          <w:szCs w:val="14"/>
          <w:lang w:eastAsia="en-US"/>
        </w:rPr>
      </w:r>
    </w:p>
    <w:p>
      <w:pPr>
        <w:jc w:val="both"/>
        <w:spacing w:after="16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Глубокое понимание отрасле</w:t>
      </w:r>
      <w:r>
        <w:rPr>
          <w:rFonts w:eastAsia="Calibri"/>
          <w:lang w:eastAsia="en-US"/>
        </w:rPr>
        <w:t xml:space="preserve">вых стандартов бухгалтерского учета, бухгалтерской (финансовой) отчетности кредитных финансовых организаций,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6-4-02 «ПРАКТИКА ПРИМЕНЕНИЯ МСА: ФОРМИРОВАНИЕ АУДИТОРСКОГО ЗАКЛЮЧЕНИЯ КРЕДИТНЫХ ОРГАНИЗАЦИЙ»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</w:pPr>
      <w:r>
        <w:rPr>
          <w:b/>
        </w:rPr>
        <w:t xml:space="preserve">Продолжительность обучения</w:t>
      </w:r>
      <w:r>
        <w:t xml:space="preserve"> – 4 академических часа.</w:t>
      </w:r>
      <w:r/>
    </w:p>
    <w:p>
      <w:pPr>
        <w:jc w:val="both"/>
      </w:pPr>
      <w:r/>
      <w:r/>
    </w:p>
    <w:p>
      <w:pPr>
        <w:jc w:val="both"/>
      </w:pPr>
      <w:r>
        <w:rPr>
          <w:b/>
        </w:rPr>
        <w:t xml:space="preserve">Цель программы</w:t>
      </w:r>
      <w:r>
        <w:t xml:space="preserve"> - углубление знаний аудиторов и руководителей аудита общественно значимых организаций, желающих специализироваться на аудите кредитных организаций, в части особенностей деятельности кредитных организаций.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</w:rPr>
        <w:t xml:space="preserve">Тема 1. Особенности аудита кредитных организаций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numPr>
          <w:ilvl w:val="0"/>
          <w:numId w:val="28"/>
        </w:numPr>
        <w:contextualSpacing/>
        <w:jc w:val="both"/>
        <w:spacing w:after="160" w:line="259" w:lineRule="auto"/>
      </w:pPr>
      <w:r>
        <w:t xml:space="preserve">Анализ результатов проверок Банка России и иных регулирующих органов, анализ результатов и планов проверок службой внутреннего аудита. </w:t>
      </w:r>
      <w:r/>
    </w:p>
    <w:p>
      <w:pPr>
        <w:numPr>
          <w:ilvl w:val="0"/>
          <w:numId w:val="28"/>
        </w:numPr>
        <w:contextualSpacing/>
        <w:jc w:val="both"/>
        <w:spacing w:after="160" w:line="259" w:lineRule="auto"/>
      </w:pPr>
      <w:r>
        <w:t xml:space="preserve">Анализ системы внутреннего контроля и организации систем управления рисками.</w:t>
      </w:r>
      <w:r/>
    </w:p>
    <w:p>
      <w:pPr>
        <w:numPr>
          <w:ilvl w:val="0"/>
          <w:numId w:val="29"/>
        </w:numPr>
        <w:contextualSpacing/>
        <w:jc w:val="both"/>
        <w:spacing w:after="160" w:line="259" w:lineRule="auto"/>
      </w:pPr>
      <w:r>
        <w:t xml:space="preserve">Анализ выполнения обязательных нормативов, установленных Банком России.</w:t>
      </w:r>
      <w:r/>
    </w:p>
    <w:p>
      <w:pPr>
        <w:numPr>
          <w:ilvl w:val="0"/>
          <w:numId w:val="29"/>
        </w:numPr>
        <w:contextualSpacing/>
        <w:jc w:val="both"/>
        <w:spacing w:after="160" w:line="259" w:lineRule="auto"/>
      </w:pPr>
      <w:r>
        <w:t xml:space="preserve">Сопоставление состава годовой отчетности, установленного Банком России, с составом аудируемой отчетности кредитной организации.</w:t>
      </w:r>
      <w:r/>
    </w:p>
    <w:p>
      <w:pPr>
        <w:numPr>
          <w:ilvl w:val="0"/>
          <w:numId w:val="29"/>
        </w:numPr>
        <w:contextualSpacing/>
        <w:jc w:val="both"/>
        <w:spacing w:after="160" w:line="259" w:lineRule="auto"/>
      </w:pPr>
      <w:r>
        <w:t xml:space="preserve">Критерии существенности искажений и порядок их исправлений.</w:t>
      </w:r>
      <w:r/>
    </w:p>
    <w:p>
      <w:pPr>
        <w:numPr>
          <w:ilvl w:val="0"/>
          <w:numId w:val="29"/>
        </w:numPr>
        <w:contextualSpacing/>
        <w:jc w:val="both"/>
        <w:spacing w:after="160" w:line="259" w:lineRule="auto"/>
      </w:pPr>
      <w:r>
        <w:t xml:space="preserve">Аудит учета в отношении мер оперативного реагирования Банка России (мер поддержки, временного неприменения/изменения нормативов и т.д.), в том числе связанных со стабилизацией ситуации на финансовом рынке.</w:t>
      </w:r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  <w:t xml:space="preserve">Тема 2. Формирование мнения об бухгалтерской (финансовой) отчетности кредитной организации и аудиторского заключения о ней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numPr>
          <w:ilvl w:val="0"/>
          <w:numId w:val="30"/>
        </w:numPr>
        <w:contextualSpacing/>
        <w:jc w:val="both"/>
        <w:spacing w:after="160" w:line="259" w:lineRule="auto"/>
      </w:pPr>
      <w:r>
        <w:t xml:space="preserve">Требования </w:t>
      </w:r>
      <w:r>
        <w:rPr>
          <w:rFonts w:eastAsia="Calibri"/>
          <w:lang w:eastAsia="en-US"/>
        </w:rPr>
        <w:t xml:space="preserve">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обязанностей, возложенных на нее федеральными законами и нормативными актами.</w:t>
      </w:r>
      <w:r/>
    </w:p>
    <w:p>
      <w:pPr>
        <w:numPr>
          <w:ilvl w:val="0"/>
          <w:numId w:val="30"/>
        </w:numPr>
        <w:contextualSpacing/>
        <w:jc w:val="both"/>
        <w:spacing w:after="160" w:line="259" w:lineRule="auto"/>
      </w:pPr>
      <w:r>
        <w:t xml:space="preserve">Право Банка России на обжалование аудиторского заключения. Решение Банка России о признании аудиторского заключения</w:t>
      </w:r>
      <w:r>
        <w:rPr>
          <w:rFonts w:eastAsia="Calibri"/>
          <w:lang w:eastAsia="en-US"/>
        </w:rPr>
        <w:t xml:space="preserve"> ненадлежащим в обстоятельствах согласно стандартам аудиторской деятельности.</w:t>
      </w:r>
      <w:r/>
    </w:p>
    <w:p>
      <w:pPr>
        <w:numPr>
          <w:ilvl w:val="0"/>
          <w:numId w:val="30"/>
        </w:numPr>
        <w:contextualSpacing/>
        <w:jc w:val="both"/>
        <w:spacing w:after="160" w:line="259" w:lineRule="auto"/>
      </w:pPr>
      <w:r>
        <w:t xml:space="preserve">Вид отчетности кредитной организации, подлежащий аудиту.</w:t>
      </w:r>
      <w:r/>
    </w:p>
    <w:p>
      <w:pPr>
        <w:numPr>
          <w:ilvl w:val="0"/>
          <w:numId w:val="30"/>
        </w:numPr>
        <w:contextualSpacing/>
        <w:jc w:val="both"/>
        <w:spacing w:after="160" w:line="259" w:lineRule="auto"/>
      </w:pPr>
      <w:r>
        <w:t xml:space="preserve">Типовые вопросы и нарушения при составлении аудиторских заключений в отношении отчетности кредитных организаций.</w:t>
      </w:r>
      <w:r/>
    </w:p>
    <w:p>
      <w:pPr>
        <w:numPr>
          <w:ilvl w:val="0"/>
          <w:numId w:val="30"/>
        </w:numPr>
        <w:contextualSpacing/>
        <w:jc w:val="both"/>
        <w:spacing w:after="160" w:line="259" w:lineRule="auto"/>
      </w:pPr>
      <w:r>
        <w:t xml:space="preserve">Ключевые вопросы аудита.</w:t>
      </w:r>
      <w:r/>
    </w:p>
    <w:p>
      <w:pPr>
        <w:numPr>
          <w:ilvl w:val="0"/>
          <w:numId w:val="30"/>
        </w:numPr>
        <w:contextualSpacing/>
        <w:jc w:val="both"/>
        <w:spacing w:after="160" w:line="259" w:lineRule="auto"/>
      </w:pPr>
      <w:r>
        <w:t xml:space="preserve">Информирование лиц, отвечающих за корпоративное управление, о значимых выводах в результате аудита и о недостатках внутреннего контроля.</w:t>
      </w:r>
      <w:r/>
    </w:p>
    <w:p>
      <w:pPr>
        <w:numPr>
          <w:ilvl w:val="0"/>
          <w:numId w:val="30"/>
        </w:numPr>
        <w:contextualSpacing/>
        <w:jc w:val="both"/>
        <w:spacing w:after="160" w:line="259" w:lineRule="auto"/>
        <w:shd w:val="clear" w:color="auto" w:fill="ffffff"/>
      </w:pPr>
      <w:r>
        <w:t xml:space="preserve">Обязанности аудитора, относящиеся к прочей информации, включенной в годовой отчет кредитной организации.</w:t>
      </w:r>
      <w:r/>
    </w:p>
    <w:p>
      <w:pPr>
        <w:numPr>
          <w:ilvl w:val="0"/>
          <w:numId w:val="30"/>
        </w:numPr>
        <w:contextualSpacing/>
        <w:jc w:val="both"/>
        <w:spacing w:after="160" w:line="259" w:lineRule="auto"/>
      </w:pPr>
      <w:r>
        <w:t xml:space="preserve">Формирование отчетности кредитной организации в соответствии с требованиями Федерального закона «О банках и банковской деятельности».</w:t>
      </w:r>
      <w:r/>
    </w:p>
    <w:p>
      <w:pPr>
        <w:numPr>
          <w:ilvl w:val="0"/>
          <w:numId w:val="30"/>
        </w:numPr>
        <w:contextualSpacing/>
        <w:jc w:val="both"/>
        <w:spacing w:after="160" w:line="259" w:lineRule="auto"/>
      </w:pPr>
      <w:r>
        <w:t xml:space="preserve">Результаты проверки, включаемые в аудиторское заключение о годовой бухгалтерской (финансовой) отчетности кредитной организации, годовой консолидированной финансовой отчетности банковской группы: выполнение обязательных но</w:t>
      </w:r>
      <w:r>
        <w:t xml:space="preserve">рмативов Банка России; соответствие внутреннего контроля и организации систем управления рисками требованиям, предъявляемых Банком России (с учетом особенностей, установленных Федеральным законом от 02.12.1990 № 395-1 «О банках и банковской деятельности»).</w:t>
      </w:r>
      <w:r/>
    </w:p>
    <w:p>
      <w:pPr>
        <w:contextualSpacing/>
        <w:ind w:left="720"/>
        <w:jc w:val="both"/>
        <w:rPr>
          <w:strike/>
        </w:rPr>
      </w:pPr>
      <w:r>
        <w:rPr>
          <w:strike/>
        </w:rPr>
      </w:r>
      <w:r>
        <w:rPr>
          <w:strike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Детальное понимание требований к аудиту бухгалтерской (финансовой) отчетности кредитных финансовых организаций.</w:t>
      </w:r>
      <w:r/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keepNext/>
        <w:rPr>
          <w:b/>
          <w:lang w:eastAsia="en-US"/>
        </w:rPr>
        <w:outlineLvl w:val="0"/>
      </w:pPr>
      <w:r>
        <w:rPr>
          <w:rFonts w:eastAsiaTheme="minorHAnsi"/>
          <w:b/>
          <w:lang w:eastAsia="en-US"/>
        </w:rPr>
        <w:t xml:space="preserve">6-4-03 «АКТУАЛЬНЫЕ ВОПРОСЫ ПРИМЕНЕНИЯ ОТРАСЛЕВОГО СТАНДАРТА БУХГАЛТЕРСКОГО УЧЕТА ВОЗНАГРАЖДЕНИЙ РАБОТНИКАМ В КРЕДИТНЫХ ОРГАНИЗАЦИЯХ»</w:t>
      </w:r>
      <w:r>
        <w:rPr>
          <w:b/>
          <w:lang w:eastAsia="en-US"/>
        </w:rPr>
      </w:r>
    </w:p>
    <w:p>
      <w:pPr>
        <w:jc w:val="both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jc w:val="both"/>
      </w:pPr>
      <w:r>
        <w:rPr>
          <w:b/>
        </w:rPr>
        <w:t xml:space="preserve">Продолжительность обучения</w:t>
      </w:r>
      <w:r>
        <w:t xml:space="preserve"> – 4 академических часа.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Цель программы</w:t>
      </w:r>
      <w:r>
        <w:t xml:space="preserve"> - </w:t>
      </w:r>
      <w:r>
        <w:t xml:space="preserve">углубление знаний аудиторов и руководителей аудита общественно значимых организаций в отношении особенностей учета вознаграждений работникам в кредитных организациях в соответствии с требованиями Банка России (положение Банка России от 15.04.2015 № 465-П).</w:t>
      </w:r>
      <w:r>
        <w:rPr>
          <w:b/>
        </w:rPr>
      </w:r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1. Общие положения 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1.1. Нормативные акты: законодательство Российской Федерации, нормативные актами Банка России, локальные нормативные акты. </w:t>
      </w:r>
      <w:r/>
    </w:p>
    <w:p>
      <w:pPr>
        <w:jc w:val="both"/>
      </w:pPr>
      <w:r>
        <w:t xml:space="preserve">Документооборот при ведении бухгалтерского учета вознаграждений работникам кредитной организации.</w:t>
      </w:r>
      <w:r/>
    </w:p>
    <w:p>
      <w:pPr>
        <w:jc w:val="both"/>
      </w:pPr>
      <w:r>
        <w:t xml:space="preserve">1.2. Виды вознаграждений. Порядок и сроки исполнения обязательств по вознаграждениям.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2. Учет вознаграждений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2.1. Бухгалтерский учет краткосрочных вознаграждений работникам.</w:t>
      </w:r>
      <w:r/>
    </w:p>
    <w:p>
      <w:pPr>
        <w:jc w:val="both"/>
      </w:pPr>
      <w:r>
        <w:t xml:space="preserve">2.2. Бухгалтерский учет долгосрочных вознаграждений работникам по окончании трудовой</w:t>
      </w:r>
      <w:r>
        <w:t xml:space="preserve"> </w:t>
      </w:r>
      <w:r>
        <w:t xml:space="preserve">деятельности.</w:t>
      </w:r>
      <w:r/>
    </w:p>
    <w:p>
      <w:pPr>
        <w:jc w:val="both"/>
      </w:pPr>
      <w:r>
        <w:t xml:space="preserve">2.3. Бухгалтерский учет прочих долгосрочных вознаграждений работникам.</w:t>
      </w:r>
      <w:r/>
    </w:p>
    <w:p>
      <w:pPr>
        <w:jc w:val="both"/>
      </w:pPr>
      <w:r>
        <w:t xml:space="preserve">2.4. Бухгалтерский учет выходных пособий.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</w:pPr>
      <w:r>
        <w:t xml:space="preserve">  </w:t>
      </w:r>
      <w:r>
        <w:br/>
        <w:t xml:space="preserve">Глубокое и детальное понимание бухгалтерского учета вознаграждений работникам в кредитных организациях в соответствии с требованиями Банка России.  </w:t>
      </w:r>
      <w:r/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6-4-04 </w:t>
      </w:r>
      <w:r>
        <w:rPr>
          <w:rFonts w:eastAsia="Calibri"/>
          <w:b/>
          <w:lang w:eastAsia="en-US"/>
        </w:rPr>
        <w:t xml:space="preserve">«БАНКИ: ОРГАНИЗАЦИЯ ДЕЯТЕЛЬНОСТИ, ОСОБЕННОСТИ БУХГАЛТЕРСКОГО УЧЕТА, НАЛОГООБЛОЖЕНИЯ И АУДИТА»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 – 40 академических часов.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 – углубление знаний аудиторов, получивших единый аттестат на осуществление аудиторской деятельности и желающих специализироваться на аудите кредитных организаций, в части банковского законодательства, особенностей деятельно</w:t>
      </w:r>
      <w:r>
        <w:rPr>
          <w:rFonts w:eastAsia="Calibri"/>
          <w:lang w:eastAsia="en-US"/>
        </w:rPr>
        <w:t xml:space="preserve">сти кредитных организаций, сферы их профессиональной ответственности, организации бухгалтерского учета, налогообложения и организации системы внутреннего контроля кредитных организаций. Будут рассмотрены особенности проведения аудита кредитных организаций.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Часть 1. Характеристика деятельности кредитных организаций, банковских групп</w:t>
      </w:r>
      <w:r>
        <w:rPr>
          <w:rFonts w:eastAsia="Calibri"/>
          <w:b/>
          <w:lang w:eastAsia="en-US"/>
        </w:rPr>
        <w:t xml:space="preserve"> и</w:t>
      </w:r>
      <w:r>
        <w:rPr>
          <w:rFonts w:eastAsia="Calibri"/>
          <w:b/>
          <w:bCs/>
          <w:lang w:eastAsia="en-US"/>
        </w:rPr>
        <w:t xml:space="preserve"> холдингов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1. </w:t>
      </w:r>
      <w:r>
        <w:rPr>
          <w:rFonts w:eastAsia="Calibri"/>
          <w:b/>
          <w:lang w:eastAsia="en-US"/>
        </w:rPr>
        <w:t xml:space="preserve">Банк России – орган государственного регулирования</w:t>
      </w:r>
      <w:r>
        <w:rPr>
          <w:rFonts w:eastAsia="Calibri"/>
          <w:b/>
          <w:bCs/>
          <w:lang w:eastAsia="en-US"/>
        </w:rPr>
        <w:t xml:space="preserve"> и </w:t>
      </w:r>
      <w:r>
        <w:rPr>
          <w:rFonts w:eastAsia="Calibri"/>
          <w:b/>
          <w:lang w:eastAsia="en-US"/>
        </w:rPr>
        <w:t xml:space="preserve">надзора за</w:t>
      </w:r>
      <w:r>
        <w:rPr>
          <w:rFonts w:eastAsia="Calibri"/>
          <w:b/>
          <w:bCs/>
          <w:lang w:eastAsia="en-US"/>
        </w:rPr>
        <w:t xml:space="preserve"> деятельности </w:t>
      </w:r>
      <w:r>
        <w:rPr>
          <w:rFonts w:eastAsia="Calibri"/>
          <w:b/>
          <w:lang w:eastAsia="en-US"/>
        </w:rPr>
        <w:t xml:space="preserve">финансовых</w:t>
      </w:r>
      <w:r>
        <w:rPr>
          <w:rFonts w:eastAsia="Calibri"/>
          <w:b/>
          <w:bCs/>
          <w:lang w:eastAsia="en-US"/>
        </w:rPr>
        <w:t xml:space="preserve"> организаций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88"/>
        </w:numPr>
        <w:contextualSpacing/>
        <w:jc w:val="both"/>
        <w:spacing w:after="148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основные функции Банка России как регулятора банковской деятельности;</w:t>
      </w:r>
      <w:r>
        <w:rPr>
          <w:rFonts w:eastAsia="Calibri"/>
          <w:lang w:eastAsia="en-US"/>
        </w:rPr>
      </w:r>
    </w:p>
    <w:p>
      <w:pPr>
        <w:numPr>
          <w:ilvl w:val="0"/>
          <w:numId w:val="88"/>
        </w:numPr>
        <w:contextualSpacing/>
        <w:jc w:val="both"/>
        <w:spacing w:after="148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место Банка России в национальной платежной системе;</w:t>
      </w:r>
      <w:r>
        <w:rPr>
          <w:rFonts w:eastAsia="Calibri"/>
          <w:lang w:eastAsia="en-US"/>
        </w:rPr>
      </w:r>
    </w:p>
    <w:p>
      <w:pPr>
        <w:numPr>
          <w:ilvl w:val="0"/>
          <w:numId w:val="88"/>
        </w:numPr>
        <w:contextualSpacing/>
        <w:jc w:val="both"/>
        <w:spacing w:after="148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лицензионные требования и условия для кредитных организаций: базовые и универсальные лицензии;</w:t>
      </w:r>
      <w:r>
        <w:rPr>
          <w:rFonts w:eastAsia="Calibri"/>
          <w:lang w:eastAsia="en-US"/>
        </w:rPr>
      </w:r>
    </w:p>
    <w:p>
      <w:pPr>
        <w:numPr>
          <w:ilvl w:val="0"/>
          <w:numId w:val="88"/>
        </w:numPr>
        <w:contextualSpacing/>
        <w:jc w:val="both"/>
        <w:spacing w:after="148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банковская группа и банковский холдинг.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Нормативное регулирование банковской деятельности кредитных организаций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8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требования Банка России к порядку представления кредитными организациями сведений о структуре собственности;</w:t>
      </w:r>
      <w:r>
        <w:rPr>
          <w:rFonts w:eastAsia="Calibri"/>
          <w:lang w:eastAsia="en-US"/>
        </w:rPr>
      </w:r>
    </w:p>
    <w:p>
      <w:pPr>
        <w:numPr>
          <w:ilvl w:val="0"/>
          <w:numId w:val="8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 квалификационных требованиях к должностным лицам и учредителям кредитной организации;</w:t>
      </w:r>
      <w:r>
        <w:rPr>
          <w:rFonts w:eastAsia="Calibri"/>
          <w:lang w:eastAsia="en-US"/>
        </w:rPr>
      </w:r>
    </w:p>
    <w:p>
      <w:pPr>
        <w:numPr>
          <w:ilvl w:val="0"/>
          <w:numId w:val="8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антимонопольное законодательство и раскрытие информации по аффилированным лицам;</w:t>
      </w:r>
      <w:r>
        <w:rPr>
          <w:rFonts w:eastAsia="Calibri"/>
          <w:lang w:eastAsia="en-US"/>
        </w:rPr>
      </w:r>
    </w:p>
    <w:p>
      <w:pPr>
        <w:numPr>
          <w:ilvl w:val="0"/>
          <w:numId w:val="8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виды ответственности кредитных организаций.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3. Внутренний контроль в кредитных организациях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9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международные документы (БКБН - Базельский комитет по банковскому надзору) по организации внутреннего контроля в банках;</w:t>
      </w:r>
      <w:r>
        <w:rPr>
          <w:rFonts w:eastAsia="Calibri"/>
          <w:lang w:eastAsia="en-US"/>
        </w:rPr>
      </w:r>
    </w:p>
    <w:p>
      <w:pPr>
        <w:numPr>
          <w:ilvl w:val="0"/>
          <w:numId w:val="9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действующие требования Банка России по вопросам организации внутреннего контроля;</w:t>
      </w:r>
      <w:r>
        <w:rPr>
          <w:rFonts w:eastAsia="Calibri"/>
          <w:lang w:eastAsia="en-US"/>
        </w:rPr>
      </w:r>
    </w:p>
    <w:p>
      <w:pPr>
        <w:numPr>
          <w:ilvl w:val="0"/>
          <w:numId w:val="9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соотношение системы внутреннего контроля, системы управления рисками и комплаенс-функции в банках;</w:t>
      </w:r>
      <w:r>
        <w:rPr>
          <w:rFonts w:eastAsia="Calibri"/>
          <w:lang w:eastAsia="en-US"/>
        </w:rPr>
      </w:r>
    </w:p>
    <w:p>
      <w:pPr>
        <w:numPr>
          <w:ilvl w:val="0"/>
          <w:numId w:val="9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разграничение понятий внутреннего аудита и внутреннего контроля в банках;</w:t>
      </w:r>
      <w:r>
        <w:rPr>
          <w:rFonts w:eastAsia="Calibri"/>
          <w:lang w:eastAsia="en-US"/>
        </w:rPr>
      </w:r>
    </w:p>
    <w:p>
      <w:pPr>
        <w:numPr>
          <w:ilvl w:val="0"/>
          <w:numId w:val="9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профессиональные стандарты «Внутренний контролер» и «Внутренний аудитор»; </w:t>
      </w:r>
      <w:r>
        <w:rPr>
          <w:rFonts w:eastAsia="Calibri"/>
          <w:lang w:eastAsia="en-US"/>
        </w:rPr>
      </w:r>
    </w:p>
    <w:p>
      <w:pPr>
        <w:numPr>
          <w:ilvl w:val="0"/>
          <w:numId w:val="9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форм банковского надзора, индикаторы для оперативного предотвращения ситуаций быстрого ухудшения финансового положения кредитных организаций;</w:t>
      </w:r>
      <w:r>
        <w:rPr>
          <w:rFonts w:eastAsia="Calibri"/>
          <w:lang w:eastAsia="en-US"/>
        </w:rPr>
      </w:r>
    </w:p>
    <w:p>
      <w:pPr>
        <w:numPr>
          <w:ilvl w:val="0"/>
          <w:numId w:val="9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рекомендации Банка России о повышении внимания кредитных организаций к отдельным операциям клиентов.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4</w:t>
      </w:r>
      <w:r>
        <w:rPr>
          <w:rFonts w:eastAsia="Calibri"/>
          <w:b/>
          <w:bCs/>
          <w:lang w:eastAsia="en-US"/>
        </w:rPr>
        <w:t xml:space="preserve">. Капитал кредитной организации</w:t>
      </w:r>
      <w:r>
        <w:rPr>
          <w:rFonts w:eastAsia="Calibri"/>
          <w:b/>
          <w:lang w:eastAsia="en-US"/>
        </w:rPr>
        <w:t xml:space="preserve"> и управление банковскими рисками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9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действующие требования к уставному капиталу кредитной организации;</w:t>
      </w:r>
      <w:r>
        <w:rPr>
          <w:rFonts w:eastAsia="Calibri"/>
          <w:lang w:eastAsia="en-US"/>
        </w:rPr>
      </w:r>
    </w:p>
    <w:p>
      <w:pPr>
        <w:numPr>
          <w:ilvl w:val="0"/>
          <w:numId w:val="9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методика определения величины и оценка достаточности собственных средств (капитала) кредитных организаций с учетом международных подходов к повышению устойчивости банковского сектора («Базель III»);</w:t>
      </w:r>
      <w:r>
        <w:rPr>
          <w:rFonts w:eastAsia="Calibri"/>
          <w:lang w:eastAsia="en-US"/>
        </w:rPr>
      </w:r>
    </w:p>
    <w:p>
      <w:pPr>
        <w:numPr>
          <w:ilvl w:val="0"/>
          <w:numId w:val="9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междунар</w:t>
      </w:r>
      <w:r>
        <w:rPr>
          <w:rFonts w:eastAsia="Calibri"/>
          <w:lang w:eastAsia="en-US"/>
        </w:rPr>
        <w:t xml:space="preserve">одные подходы к регулированию деятельности кредитных организаций с целью повышения устойчивости банковского сектора: рекомендации по организации внутренних процедур оценки достаточности капитала (ВПОДК), подход, предусмотренный рекомендациями «Базель III»;</w:t>
      </w:r>
      <w:r>
        <w:rPr>
          <w:rFonts w:eastAsia="Calibri"/>
          <w:lang w:eastAsia="en-US"/>
        </w:rPr>
      </w:r>
    </w:p>
    <w:p>
      <w:pPr>
        <w:numPr>
          <w:ilvl w:val="0"/>
          <w:numId w:val="9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 требованиях к системе управления рисками и капиталом кредитной организации и банковской группы. Система управления рисками в рамках ВПОДК; </w:t>
      </w:r>
      <w:r>
        <w:rPr>
          <w:rFonts w:eastAsia="Calibri"/>
          <w:lang w:eastAsia="en-US"/>
        </w:rPr>
      </w:r>
    </w:p>
    <w:p>
      <w:pPr>
        <w:numPr>
          <w:ilvl w:val="0"/>
          <w:numId w:val="9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управления кредитным риском. Рекомендации Банка России по реализации подхода к расчету кредитного риска на основе внутренних рейтингов банков;</w:t>
      </w:r>
      <w:r>
        <w:rPr>
          <w:rFonts w:eastAsia="Calibri"/>
          <w:lang w:eastAsia="en-US"/>
        </w:rPr>
      </w:r>
    </w:p>
    <w:p>
      <w:pPr>
        <w:numPr>
          <w:ilvl w:val="0"/>
          <w:numId w:val="9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оценки и управления рыночным риском;</w:t>
      </w:r>
      <w:r>
        <w:rPr>
          <w:rFonts w:eastAsia="Calibri"/>
          <w:lang w:eastAsia="en-US"/>
        </w:rPr>
      </w:r>
    </w:p>
    <w:p>
      <w:pPr>
        <w:numPr>
          <w:ilvl w:val="0"/>
          <w:numId w:val="9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основные методы управления валютным риском;</w:t>
      </w:r>
      <w:r>
        <w:rPr>
          <w:rFonts w:eastAsia="Calibri"/>
          <w:lang w:eastAsia="en-US"/>
        </w:rPr>
      </w:r>
    </w:p>
    <w:p>
      <w:pPr>
        <w:numPr>
          <w:ilvl w:val="0"/>
          <w:numId w:val="9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оценка ликвидности банка. Показатель краткосрочной ликвидности («Базель III»): расчет, применение, включение в отчетность;</w:t>
      </w:r>
      <w:r>
        <w:rPr>
          <w:rFonts w:eastAsia="Calibri"/>
          <w:lang w:eastAsia="en-US"/>
        </w:rPr>
      </w:r>
    </w:p>
    <w:p>
      <w:pPr>
        <w:numPr>
          <w:ilvl w:val="0"/>
          <w:numId w:val="9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практические вопросы оценки операционного риска с учетом международного опыта.</w:t>
      </w:r>
      <w:r>
        <w:rPr>
          <w:rFonts w:eastAsia="Calibri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5. </w:t>
      </w:r>
      <w:r>
        <w:rPr>
          <w:rFonts w:eastAsia="Calibri"/>
          <w:b/>
          <w:lang w:eastAsia="en-US"/>
        </w:rPr>
        <w:t xml:space="preserve">Экономические нормативы: состав, содержание и контроль исполнения Банком России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9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обязательные нормативы банков: достаточности собственных средств (капитала), нормативы ликвидности и нормативы концентрации кредитного риска (на одного заемщика или группу связанных заемщиков, в отношении акционеров (участников), инсайдеров);</w:t>
      </w:r>
      <w:r>
        <w:rPr>
          <w:rFonts w:eastAsia="Calibri"/>
          <w:lang w:eastAsia="en-US"/>
        </w:rPr>
      </w:r>
    </w:p>
    <w:p>
      <w:pPr>
        <w:numPr>
          <w:ilvl w:val="0"/>
          <w:numId w:val="9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надбавки к нормативам достаточности;</w:t>
      </w:r>
      <w:r>
        <w:rPr>
          <w:rFonts w:eastAsia="Calibri"/>
          <w:lang w:eastAsia="en-US"/>
        </w:rPr>
      </w:r>
    </w:p>
    <w:p>
      <w:pPr>
        <w:numPr>
          <w:ilvl w:val="0"/>
          <w:numId w:val="9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обязательные нормативы максимального размера риска на связанное с банком лицо (группу связанных с банком лиц);</w:t>
      </w:r>
      <w:r>
        <w:rPr>
          <w:rFonts w:eastAsia="Calibri"/>
          <w:lang w:eastAsia="en-US"/>
        </w:rPr>
      </w:r>
    </w:p>
    <w:p>
      <w:pPr>
        <w:numPr>
          <w:ilvl w:val="0"/>
          <w:numId w:val="9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норматив краткосрочной ликвидности Н26 (Н27): расчет, нормативное значение, сфера применения;</w:t>
      </w:r>
      <w:r>
        <w:rPr>
          <w:rFonts w:eastAsia="Calibri"/>
          <w:lang w:eastAsia="en-US"/>
        </w:rPr>
      </w:r>
    </w:p>
    <w:p>
      <w:pPr>
        <w:numPr>
          <w:ilvl w:val="0"/>
          <w:numId w:val="9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норматив структурной ликвидности (норматив чистого стабильного фондирования);</w:t>
      </w:r>
      <w:r>
        <w:rPr>
          <w:rFonts w:eastAsia="Calibri"/>
          <w:lang w:eastAsia="en-US"/>
        </w:rPr>
      </w:r>
    </w:p>
    <w:p>
      <w:pPr>
        <w:numPr>
          <w:ilvl w:val="0"/>
          <w:numId w:val="9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расчет кредитными организациями показателя финансового рычага в соответствии с положениями «Базель III»;</w:t>
      </w:r>
      <w:r>
        <w:rPr>
          <w:rFonts w:eastAsia="Calibri"/>
          <w:lang w:eastAsia="en-US"/>
        </w:rPr>
      </w:r>
    </w:p>
    <w:p>
      <w:pPr>
        <w:numPr>
          <w:ilvl w:val="0"/>
          <w:numId w:val="9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обязательные нормативы небанковских кредитных организаций. 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6. Оценка экономического положения банка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9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анализ капитала кредитной организации, активов, доходности, ликвидности, обязательных нормативов;</w:t>
      </w:r>
      <w:r>
        <w:rPr>
          <w:rFonts w:eastAsia="Calibri"/>
          <w:lang w:eastAsia="en-US"/>
        </w:rPr>
      </w:r>
    </w:p>
    <w:p>
      <w:pPr>
        <w:numPr>
          <w:ilvl w:val="0"/>
          <w:numId w:val="9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анализ качества управления, прозрачности структуры собственности банка. 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Часть 2. Бухгалтерский учет и финансовая отчетность кредитных организаций, банковских групп, банковских холдингов</w:t>
      </w:r>
      <w:r>
        <w:rPr>
          <w:rFonts w:eastAsia="Calibri"/>
          <w:b/>
          <w:bCs/>
          <w:lang w:eastAsia="en-US"/>
        </w:rPr>
      </w:r>
    </w:p>
    <w:p>
      <w:pPr>
        <w:ind w:right="-1"/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7. Правила ведения бухгалтерского учета в кредитных организациях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94"/>
        </w:numPr>
        <w:contextualSpacing/>
        <w:ind w:right="-1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Система отраслевых стандартов учета в кредитных организациях. Их место в системе бухгалтерского учета Российской Федерации. Сближение с МСФО.</w:t>
      </w:r>
      <w:r>
        <w:rPr>
          <w:rFonts w:eastAsia="Calibri"/>
          <w:lang w:eastAsia="en-US"/>
        </w:rPr>
      </w:r>
    </w:p>
    <w:p>
      <w:pPr>
        <w:numPr>
          <w:ilvl w:val="0"/>
          <w:numId w:val="94"/>
        </w:numPr>
        <w:contextualSpacing/>
        <w:ind w:right="-1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Основные принципы бухгалтерского учета в кредитных организациях. План счетов бухгалтерского учета в кредитных организациях: его структура, виды счетов, краткая характеристика счетов. </w:t>
      </w:r>
      <w:r>
        <w:rPr>
          <w:rFonts w:eastAsia="Calibri"/>
          <w:lang w:eastAsia="en-US"/>
        </w:rPr>
      </w:r>
    </w:p>
    <w:p>
      <w:pPr>
        <w:contextualSpacing/>
        <w:ind w:left="720" w:right="-1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</w:t>
      </w:r>
      <w:r>
        <w:rPr>
          <w:rFonts w:eastAsia="Calibri"/>
          <w:b/>
          <w:lang w:eastAsia="en-US"/>
        </w:rPr>
        <w:t xml:space="preserve">8.  Учет вложений в ценные бумаги и производные финансовые инструменты в соответствии с МСФО (IFRS) 9 «Финансовые инструменты» и МСФО (IFRS) 13 «Оценка справедливой стоимости» и Положением Банка России № 606-П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классификация ценных бумаг для целей учета: распределение по оценочным категориям в результате выбранной бизнес-модели, изменение применяемой бизнес-модели в отношении ценных бумаг (Положение Банка России № 606-П);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первоначальное признание ценных бумаг по справедливой стоимости: отражение финансового результата, учет отсроченной разницы; 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оценка справедливой стоимости в соответствии с МСФО (IFRS) 13: наблюдаемые и ненаблюдаемые данные, источники информации, классификация уровня справедливой стоимости;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ценных бумаг по амортизированной стоимости: применение метода эффективной процентной ставки, начисление процентных доходов, корректировка до амортизированной стоимости;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методы расчета амортизированной стоимости в соответствии с МСФО (IFRS) 9. Рыночные и нерыночные процентные ставки. Источники получения информации;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ценных бумаг по справедливой стоимости через прочий совокупный доход и через прибыль или убыток. Переоценка по справедливой стоимости;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оценочный резерв под обесценение. Признаки обесценения. Определение актива как кредитно-обесцененного при первоначальном признании. Ожидаемые кредитные убытки и методы их оценки. Кред</w:t>
      </w:r>
      <w:r>
        <w:rPr>
          <w:rFonts w:eastAsia="Calibri"/>
          <w:lang w:eastAsia="en-US"/>
        </w:rPr>
        <w:t xml:space="preserve">итные риски и признаки их значительного увеличения. Определение дефолта и его признаки. Изменение методов оценки ожидаемых кредитных убытков при значительном увеличении кредитного риска, риска дефолта. Оценка риска на групповой основе (портфельный подход);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сделок на главе Г «Счета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(сделки)»;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производных финансовых инструментов, пример отражения в учете форвардного контракта; 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сделок РЕПО и займов, выданных ценными бумагами;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приобретенных векселей в соответствии с выбранной бизнес-моделью и оценочной категорией;</w:t>
      </w:r>
      <w:r>
        <w:rPr>
          <w:rFonts w:eastAsia="Calibri"/>
          <w:lang w:eastAsia="en-US"/>
        </w:rPr>
      </w:r>
    </w:p>
    <w:p>
      <w:pPr>
        <w:numPr>
          <w:ilvl w:val="0"/>
          <w:numId w:val="9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деятельности кредитной организации по управлению рисками, предусматривающей использование для этого инструментов хеджирования (Отраслевой стандарт бухгалтерского учета хеджирования кредитными организациями).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9. Учет кредитов и прочих размещенных средств (Положение Банка России № 605-П)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кредитов по амортизированной стоимости и по справедливой стоимости. Оценка справедливой стоимости при первоначальном признании. Рыночные и нерыночные процентные ставки;</w:t>
      </w:r>
      <w:r>
        <w:rPr>
          <w:rFonts w:eastAsia="Calibri"/>
          <w:lang w:eastAsia="en-US"/>
        </w:rPr>
      </w:r>
    </w:p>
    <w:p>
      <w:pPr>
        <w:numPr>
          <w:ilvl w:val="0"/>
          <w:numId w:val="1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процентных доходов, расчет эффективной процентной ставки. Корректировка до эффективной процентной ставки. Пересмотр условий договора;</w:t>
      </w:r>
      <w:r>
        <w:rPr>
          <w:rFonts w:eastAsia="Calibri"/>
          <w:lang w:eastAsia="en-US"/>
        </w:rPr>
      </w:r>
    </w:p>
    <w:p>
      <w:pPr>
        <w:numPr>
          <w:ilvl w:val="0"/>
          <w:numId w:val="1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погашение кредитов по сроку и досрочное. Списание безнадежной задолженности, уступка прав требования;</w:t>
      </w:r>
      <w:r>
        <w:rPr>
          <w:rFonts w:eastAsia="Calibri"/>
          <w:lang w:eastAsia="en-US"/>
        </w:rPr>
      </w:r>
    </w:p>
    <w:p>
      <w:pPr>
        <w:numPr>
          <w:ilvl w:val="0"/>
          <w:numId w:val="1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резервов на возможные потери. Учет оценочного резерва;</w:t>
      </w:r>
      <w:r>
        <w:rPr>
          <w:rFonts w:eastAsia="Calibri"/>
          <w:lang w:eastAsia="en-US"/>
        </w:rPr>
      </w:r>
    </w:p>
    <w:p>
      <w:pPr>
        <w:numPr>
          <w:ilvl w:val="0"/>
          <w:numId w:val="1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обязательств по предоставлению кредитов (кредитная линия) и банковских гарантий по справедливой стоимости;</w:t>
      </w:r>
      <w:r>
        <w:rPr>
          <w:rFonts w:eastAsia="Calibri"/>
          <w:lang w:eastAsia="en-US"/>
        </w:rPr>
      </w:r>
    </w:p>
    <w:p>
      <w:pPr>
        <w:numPr>
          <w:ilvl w:val="0"/>
          <w:numId w:val="1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приобретенных прав требования: справедливая стоимость при первоначальном признании, начисление доходов, погашение, вторичная уступка.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10. Учет депозитов, вкладов и прочих привлеченных средств (Положение Банка России № 604-П)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депозитов по амортизированной и по справедливой стоимости. Оценка справедливой стоимости при первоначальном признании. Рыночные и нерыночные процентные ставки;</w:t>
      </w:r>
      <w:r>
        <w:rPr>
          <w:rFonts w:eastAsia="Calibri"/>
          <w:lang w:eastAsia="en-US"/>
        </w:rPr>
      </w:r>
    </w:p>
    <w:p>
      <w:pPr>
        <w:numPr>
          <w:ilvl w:val="0"/>
          <w:numId w:val="1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процентных расходов. Расчет эффективной процентной ставки и корректировка процентов по договору;</w:t>
      </w:r>
      <w:r>
        <w:rPr>
          <w:rFonts w:eastAsia="Calibri"/>
          <w:lang w:eastAsia="en-US"/>
        </w:rPr>
      </w:r>
    </w:p>
    <w:p>
      <w:pPr>
        <w:numPr>
          <w:ilvl w:val="0"/>
          <w:numId w:val="1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прекращение признания депозитов, вкладов и прочих привлеченных средств - по сроку и досрочное.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11. </w:t>
      </w:r>
      <w:r>
        <w:rPr>
          <w:rFonts w:eastAsia="Calibri"/>
          <w:b/>
          <w:lang w:eastAsia="en-US"/>
        </w:rPr>
        <w:t xml:space="preserve">Учет выпуска собственных ценных бумаг: векселей, облигаций, депозитных и сберегательных сертификатов (Положение Банка России № 604-П)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первоначальное признание выпущенных ценных бумаг;</w:t>
      </w:r>
      <w:r>
        <w:rPr>
          <w:rFonts w:eastAsia="Calibri"/>
          <w:lang w:eastAsia="en-US"/>
        </w:rPr>
      </w:r>
    </w:p>
    <w:p>
      <w:pPr>
        <w:numPr>
          <w:ilvl w:val="0"/>
          <w:numId w:val="1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выпуск собственных векселей, оценка спра</w:t>
      </w:r>
      <w:r>
        <w:rPr>
          <w:rFonts w:eastAsia="Calibri"/>
          <w:lang w:eastAsia="en-US"/>
        </w:rPr>
        <w:t xml:space="preserve">ведливой стоимости при первоначальном признании. Рыночные и нерыночные процентные (дисконтные) расходы по векселю. Особенности применения метода эффективной процентной ставки. Расчет амортизированной стоимости векселя, номинированного в иностранной валюте;</w:t>
      </w:r>
      <w:r>
        <w:rPr>
          <w:rFonts w:eastAsia="Calibri"/>
          <w:lang w:eastAsia="en-US"/>
        </w:rPr>
      </w:r>
    </w:p>
    <w:p>
      <w:pPr>
        <w:numPr>
          <w:ilvl w:val="0"/>
          <w:numId w:val="1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выпуск собственных облигаций. Справедливая стоимость при первоначальном признании. Примене</w:t>
      </w:r>
      <w:r>
        <w:rPr>
          <w:rFonts w:eastAsia="Calibri"/>
          <w:lang w:eastAsia="en-US"/>
        </w:rPr>
        <w:t xml:space="preserve">ние эффективной процентной ставки при плавающей купонной ставке. Амортизированная стоимость облигаций с индексацией номинала. Выкуп собственных облигаций. Проблемы расчета справедливой стоимости выпущенных облигаций в результате изменения кредитного риска;</w:t>
      </w:r>
      <w:r>
        <w:rPr>
          <w:rFonts w:eastAsia="Calibri"/>
          <w:lang w:eastAsia="en-US"/>
        </w:rPr>
      </w:r>
    </w:p>
    <w:p>
      <w:pPr>
        <w:numPr>
          <w:ilvl w:val="0"/>
          <w:numId w:val="1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выпуск депозитных и сберегательных сертификатов. Первоначальное признание по справедливой стоимости. Погашение по сроку. Досрочное погашение;</w:t>
      </w:r>
      <w:r>
        <w:rPr>
          <w:rFonts w:eastAsia="Calibri"/>
          <w:lang w:eastAsia="en-US"/>
        </w:rPr>
      </w:r>
    </w:p>
    <w:p>
      <w:pPr>
        <w:numPr>
          <w:ilvl w:val="0"/>
          <w:numId w:val="1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начисление процентного (купонного) расхода по выпущенным ценным бумагам;</w:t>
      </w:r>
      <w:r>
        <w:rPr>
          <w:rFonts w:eastAsia="Calibri"/>
          <w:lang w:eastAsia="en-US"/>
        </w:rPr>
      </w:r>
    </w:p>
    <w:p>
      <w:pPr>
        <w:numPr>
          <w:ilvl w:val="0"/>
          <w:numId w:val="1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отражение в учете финансового обязательства после первоначального признания.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12. </w:t>
      </w:r>
      <w:r>
        <w:rPr>
          <w:rFonts w:eastAsia="Calibri"/>
          <w:b/>
          <w:lang w:eastAsia="en-US"/>
        </w:rPr>
        <w:t xml:space="preserve">Отраслево</w:t>
      </w:r>
      <w:r>
        <w:rPr>
          <w:rFonts w:eastAsia="Calibri"/>
          <w:b/>
          <w:lang w:eastAsia="en-US"/>
        </w:rPr>
        <w:t xml:space="preserve">й стандарт по учету доходов и расходов кредитной организации. Особенности формирования Отчета о финансовых результатах. Порядок бухгалтерского учета нефинансовых активов в кредитных организациях в соответствии с отраслевыми стандартами бухгалтерского учета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состав и учет процентных доходов и процентных расходов;</w:t>
      </w:r>
      <w:r>
        <w:rPr>
          <w:rFonts w:eastAsia="Calibri"/>
          <w:lang w:eastAsia="en-US"/>
        </w:rPr>
      </w:r>
    </w:p>
    <w:p>
      <w:pPr>
        <w:numPr>
          <w:ilvl w:val="0"/>
          <w:numId w:val="1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состав и учет операционных доходов и операционных расходов;</w:t>
      </w:r>
      <w:r>
        <w:rPr>
          <w:rFonts w:eastAsia="Calibri"/>
          <w:lang w:eastAsia="en-US"/>
        </w:rPr>
      </w:r>
    </w:p>
    <w:p>
      <w:pPr>
        <w:numPr>
          <w:ilvl w:val="0"/>
          <w:numId w:val="1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понятие прочего совокупного дохода, отражение в учете операций по увеличению и уменьшению прочего совокупного дохода;</w:t>
      </w:r>
      <w:r>
        <w:rPr>
          <w:rFonts w:eastAsia="Calibri"/>
          <w:lang w:eastAsia="en-US"/>
        </w:rPr>
      </w:r>
    </w:p>
    <w:p>
      <w:pPr>
        <w:numPr>
          <w:ilvl w:val="0"/>
          <w:numId w:val="14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основных средств, нематериальных активов;</w:t>
      </w:r>
      <w:r>
        <w:rPr>
          <w:rFonts w:eastAsia="Calibri"/>
          <w:lang w:eastAsia="en-US"/>
        </w:rPr>
      </w:r>
    </w:p>
    <w:p>
      <w:pPr>
        <w:numPr>
          <w:ilvl w:val="0"/>
          <w:numId w:val="14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инвестиционного имуществ;</w:t>
      </w:r>
      <w:r>
        <w:rPr>
          <w:rFonts w:eastAsia="Calibri"/>
          <w:lang w:eastAsia="en-US"/>
        </w:rPr>
      </w:r>
    </w:p>
    <w:p>
      <w:pPr>
        <w:numPr>
          <w:ilvl w:val="0"/>
          <w:numId w:val="14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долгосрочных активов, предназначенных для продажи;</w:t>
      </w:r>
      <w:r>
        <w:rPr>
          <w:rFonts w:eastAsia="Calibri"/>
          <w:lang w:eastAsia="en-US"/>
        </w:rPr>
      </w:r>
    </w:p>
    <w:p>
      <w:pPr>
        <w:numPr>
          <w:ilvl w:val="0"/>
          <w:numId w:val="14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запасов, средств труда и предметов труда, полученных по договорам отступного, залога, назначение которых не определено;</w:t>
      </w:r>
      <w:r>
        <w:rPr>
          <w:rFonts w:eastAsia="Calibri"/>
          <w:lang w:eastAsia="en-US"/>
        </w:rPr>
      </w:r>
    </w:p>
    <w:p>
      <w:pPr>
        <w:numPr>
          <w:ilvl w:val="0"/>
          <w:numId w:val="14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договоров финансовой аренды.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13. Сближение банковского учета и МСФО: отраслевой стандарт по бухгалтерскому учету вознаграждений работникам в кредитных организациях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требования Банка России к системе оплаты труда; </w:t>
      </w:r>
      <w:r>
        <w:rPr>
          <w:rFonts w:eastAsia="Calibri"/>
          <w:lang w:eastAsia="en-US"/>
        </w:rPr>
      </w:r>
    </w:p>
    <w:p>
      <w:pPr>
        <w:numPr>
          <w:ilvl w:val="0"/>
          <w:numId w:val="1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краткосрочных вознаграждений работникам;</w:t>
      </w:r>
      <w:r>
        <w:rPr>
          <w:rFonts w:eastAsia="Calibri"/>
          <w:lang w:eastAsia="en-US"/>
        </w:rPr>
      </w:r>
    </w:p>
    <w:p>
      <w:pPr>
        <w:numPr>
          <w:ilvl w:val="0"/>
          <w:numId w:val="1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долгосрочных вознаграждений работникам, в т.ч. по окончании трудовой деятельности;</w:t>
      </w:r>
      <w:r>
        <w:rPr>
          <w:rFonts w:eastAsia="Calibri"/>
          <w:lang w:eastAsia="en-US"/>
        </w:rPr>
      </w:r>
    </w:p>
    <w:p>
      <w:pPr>
        <w:numPr>
          <w:ilvl w:val="0"/>
          <w:numId w:val="1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выходных пособий.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lang w:eastAsia="en-US"/>
        </w:rPr>
        <w:t xml:space="preserve">Тема 14. </w:t>
      </w:r>
      <w:r>
        <w:rPr>
          <w:rFonts w:eastAsia="Calibri"/>
          <w:b/>
          <w:bCs/>
          <w:lang w:eastAsia="en-US"/>
        </w:rPr>
        <w:t xml:space="preserve">Учет отложенных налогов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расчета и учета отложенных налогов в бухгалтерском учете кредитных организаций;</w:t>
      </w:r>
      <w:r>
        <w:rPr>
          <w:rFonts w:eastAsia="Calibri"/>
          <w:lang w:eastAsia="en-US"/>
        </w:rPr>
      </w:r>
    </w:p>
    <w:p>
      <w:pPr>
        <w:numPr>
          <w:ilvl w:val="0"/>
          <w:numId w:val="1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аналитический учет отложенных налогов. Порядок ведения ведомости расчета отложенных налоговых обязательств и отложенных налоговых активов.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</w:t>
      </w:r>
      <w:r>
        <w:rPr>
          <w:rFonts w:eastAsia="Calibri"/>
          <w:b/>
          <w:lang w:eastAsia="en-US"/>
        </w:rPr>
        <w:t xml:space="preserve">15</w:t>
      </w:r>
      <w:r>
        <w:rPr>
          <w:rFonts w:eastAsia="Calibri"/>
          <w:b/>
          <w:bCs/>
          <w:lang w:eastAsia="en-US"/>
        </w:rPr>
        <w:t xml:space="preserve">. Бухгалтерская и финансовая отчетность кредитной организации</w:t>
      </w:r>
      <w:r>
        <w:rPr>
          <w:rFonts w:eastAsia="Calibri"/>
          <w:b/>
          <w:lang w:eastAsia="en-US"/>
        </w:rPr>
        <w:t xml:space="preserve">, банковской группы и банковского холдинга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формы, состав, периодичность, требования по опубликованию и адреса предоставления публикуемой финансовой отчетности;</w:t>
      </w:r>
      <w:r>
        <w:rPr>
          <w:rFonts w:eastAsia="Calibri"/>
          <w:lang w:eastAsia="en-US"/>
        </w:rPr>
      </w:r>
    </w:p>
    <w:p>
      <w:pPr>
        <w:numPr>
          <w:ilvl w:val="0"/>
          <w:numId w:val="1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изменения в составе и порядке формирования публикуемой отчетности; </w:t>
      </w:r>
      <w:r>
        <w:rPr>
          <w:rFonts w:eastAsia="Calibri"/>
          <w:lang w:eastAsia="en-US"/>
        </w:rPr>
      </w:r>
    </w:p>
    <w:p>
      <w:pPr>
        <w:numPr>
          <w:ilvl w:val="0"/>
          <w:numId w:val="1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отчетность, направляемая кредитными организациями в Банк России в порядке надзора;</w:t>
      </w:r>
      <w:r>
        <w:rPr>
          <w:rFonts w:eastAsia="Calibri"/>
          <w:lang w:eastAsia="en-US"/>
        </w:rPr>
      </w:r>
    </w:p>
    <w:p>
      <w:pPr>
        <w:numPr>
          <w:ilvl w:val="0"/>
          <w:numId w:val="1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принципы и порядок составления консолидированной отчетности банковской группы; </w:t>
      </w:r>
      <w:r>
        <w:rPr>
          <w:rFonts w:eastAsia="Calibri"/>
          <w:lang w:eastAsia="en-US"/>
        </w:rPr>
      </w:r>
    </w:p>
    <w:p>
      <w:pPr>
        <w:numPr>
          <w:ilvl w:val="0"/>
          <w:numId w:val="1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отчетность, предоставляемая в Банк России банковскими холдингами.</w:t>
      </w:r>
      <w:r>
        <w:rPr>
          <w:rFonts w:eastAsia="Calibri"/>
          <w:lang w:eastAsia="en-US"/>
        </w:rPr>
      </w:r>
    </w:p>
    <w:p>
      <w:pPr>
        <w:ind w:left="675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Часть 3. Особенности налогообложения кредитных организаций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</w:t>
      </w:r>
      <w:r>
        <w:rPr>
          <w:rFonts w:eastAsia="Calibri"/>
          <w:b/>
          <w:lang w:eastAsia="en-US"/>
        </w:rPr>
        <w:t xml:space="preserve">16</w:t>
      </w:r>
      <w:r>
        <w:rPr>
          <w:rFonts w:eastAsia="Calibri"/>
          <w:b/>
          <w:bCs/>
          <w:lang w:eastAsia="en-US"/>
        </w:rPr>
        <w:t xml:space="preserve">. Особенности расчетов по НДС в кредитных организациях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9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разделение операций в кредитных организациях на облагаемые и необлагаемые НДС;</w:t>
      </w:r>
      <w:r>
        <w:rPr>
          <w:rFonts w:eastAsia="Calibri"/>
          <w:lang w:eastAsia="en-US"/>
        </w:rPr>
      </w:r>
    </w:p>
    <w:p>
      <w:pPr>
        <w:numPr>
          <w:ilvl w:val="0"/>
          <w:numId w:val="9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входящего НДС;</w:t>
      </w:r>
      <w:r>
        <w:rPr>
          <w:rFonts w:eastAsia="Calibri"/>
          <w:lang w:eastAsia="en-US"/>
        </w:rPr>
      </w:r>
    </w:p>
    <w:p>
      <w:pPr>
        <w:numPr>
          <w:ilvl w:val="0"/>
          <w:numId w:val="9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прекращение обязательств путем отступного и его налоговые последствия; </w:t>
      </w:r>
      <w:r>
        <w:rPr>
          <w:rFonts w:eastAsia="Calibri"/>
          <w:lang w:eastAsia="en-US"/>
        </w:rPr>
      </w:r>
    </w:p>
    <w:p>
      <w:pPr>
        <w:numPr>
          <w:ilvl w:val="0"/>
          <w:numId w:val="9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банк как налоговый агент по НДС.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</w:t>
      </w:r>
      <w:r>
        <w:rPr>
          <w:rFonts w:eastAsia="Calibri"/>
          <w:b/>
          <w:lang w:eastAsia="en-US"/>
        </w:rPr>
        <w:t xml:space="preserve">17</w:t>
      </w:r>
      <w:r>
        <w:rPr>
          <w:rFonts w:eastAsia="Calibri"/>
          <w:b/>
          <w:bCs/>
          <w:lang w:eastAsia="en-US"/>
        </w:rPr>
        <w:t xml:space="preserve">. Особенности исчисления налога на прибыль в кредитных организациях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9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налогообложение операций с ценными бумагами, последствия для налогов в связи с принятием новых правил бухучета по деривативам и финансовым инструментам;</w:t>
      </w:r>
      <w:r>
        <w:rPr>
          <w:rFonts w:eastAsia="Calibri"/>
          <w:lang w:eastAsia="en-US"/>
        </w:rPr>
      </w:r>
    </w:p>
    <w:p>
      <w:pPr>
        <w:numPr>
          <w:ilvl w:val="0"/>
          <w:numId w:val="9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налогообложение операции с производными финансовыми инструментами;</w:t>
      </w:r>
      <w:r>
        <w:rPr>
          <w:rFonts w:eastAsia="Calibri"/>
          <w:lang w:eastAsia="en-US"/>
        </w:rPr>
      </w:r>
    </w:p>
    <w:p>
      <w:pPr>
        <w:numPr>
          <w:ilvl w:val="0"/>
          <w:numId w:val="9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операции с безнадежными долгами, прекращение начисления процентов, списание задолженности; </w:t>
      </w:r>
      <w:r>
        <w:rPr>
          <w:rFonts w:eastAsia="Calibri"/>
          <w:lang w:eastAsia="en-US"/>
        </w:rPr>
      </w:r>
    </w:p>
    <w:p>
      <w:pPr>
        <w:numPr>
          <w:ilvl w:val="0"/>
          <w:numId w:val="9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налогообложение сделок РЕПО;</w:t>
      </w:r>
      <w:r>
        <w:rPr>
          <w:rFonts w:eastAsia="Calibri"/>
          <w:lang w:eastAsia="en-US"/>
        </w:rPr>
      </w:r>
    </w:p>
    <w:p>
      <w:pPr>
        <w:numPr>
          <w:ilvl w:val="0"/>
          <w:numId w:val="9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налогообложение сделок с взаимозависимыми лицами, контролируемые сделки.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Часть 4. Аудит бухгалтерской (финансовой) отчетности кредитных организаций</w:t>
      </w:r>
      <w:r>
        <w:rPr>
          <w:rFonts w:eastAsia="Calibri"/>
          <w:b/>
          <w:lang w:eastAsia="en-US"/>
        </w:rPr>
        <w:t xml:space="preserve"> в соответствии с Международными стандартами аудита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18. Роль Банка России в организации проведения обязательного аудита бухгалтерской (финансовой) отчетности кредитных организаций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полномочия Банка России и регулирование им вопросов проведения обязательного аудита бухгалтерской (финансовой) отчетности кредитных организаций; </w:t>
      </w:r>
      <w:r>
        <w:rPr>
          <w:rFonts w:eastAsia="Calibri"/>
          <w:lang w:eastAsia="en-US"/>
        </w:rPr>
      </w:r>
    </w:p>
    <w:p>
      <w:pPr>
        <w:numPr>
          <w:ilvl w:val="0"/>
          <w:numId w:val="1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требования к аудиторской организации для проведения обязательного аудита бухгалтерской (финансовой) отчетности кредитных организаций;</w:t>
      </w:r>
      <w:r>
        <w:rPr>
          <w:rFonts w:eastAsia="Calibri"/>
          <w:lang w:eastAsia="en-US"/>
        </w:rPr>
      </w:r>
    </w:p>
    <w:p>
      <w:pPr>
        <w:numPr>
          <w:ilvl w:val="0"/>
          <w:numId w:val="1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порядок заключения договора на проведения обязательного аудита бухгалтерской (финансовой) отчетности кредитных организаций;</w:t>
      </w:r>
      <w:r>
        <w:rPr>
          <w:rFonts w:eastAsia="Calibri"/>
          <w:lang w:eastAsia="en-US"/>
        </w:rPr>
      </w:r>
    </w:p>
    <w:p>
      <w:pPr>
        <w:numPr>
          <w:ilvl w:val="0"/>
          <w:numId w:val="1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информационное взаимодействие аудиторской организации и Банка России в ходе проведения обязательного аудита бухгалтерской (финансовой) отчетности кредитных организаций: содержание, порядок осуществления;</w:t>
      </w:r>
      <w:r>
        <w:rPr>
          <w:rFonts w:eastAsia="Calibri"/>
          <w:lang w:eastAsia="en-US"/>
        </w:rPr>
      </w:r>
    </w:p>
    <w:p>
      <w:pPr>
        <w:numPr>
          <w:ilvl w:val="0"/>
          <w:numId w:val="1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доп</w:t>
      </w:r>
      <w:r>
        <w:rPr>
          <w:rFonts w:eastAsia="Calibri"/>
          <w:lang w:eastAsia="en-US"/>
        </w:rPr>
        <w:t xml:space="preserve">олнительные требования 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законами;</w:t>
      </w:r>
      <w:r>
        <w:rPr>
          <w:rFonts w:eastAsia="Calibri"/>
          <w:lang w:eastAsia="en-US"/>
        </w:rPr>
      </w:r>
    </w:p>
    <w:p>
      <w:pPr>
        <w:numPr>
          <w:ilvl w:val="0"/>
          <w:numId w:val="1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право Банка России на обжалование аудиторского заключения. Решение Банка России о признании аудиторского заключения ненадлежащим в обстоятельствах согласно стандартам аудиторской деятельности;</w:t>
      </w:r>
      <w:r>
        <w:rPr>
          <w:rFonts w:eastAsia="Calibri"/>
          <w:lang w:eastAsia="en-US"/>
        </w:rPr>
      </w:r>
    </w:p>
    <w:p>
      <w:pPr>
        <w:numPr>
          <w:ilvl w:val="0"/>
          <w:numId w:val="1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процедуры проверки предписаний Банка России в отношении проверяемой кредитной организации.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</w:t>
      </w:r>
      <w:r>
        <w:rPr>
          <w:rFonts w:eastAsia="Calibri"/>
          <w:b/>
          <w:lang w:eastAsia="en-US"/>
        </w:rPr>
        <w:t xml:space="preserve">19</w:t>
      </w:r>
      <w:r>
        <w:rPr>
          <w:rFonts w:eastAsia="Calibri"/>
          <w:b/>
          <w:bCs/>
          <w:lang w:eastAsia="en-US"/>
        </w:rPr>
        <w:t xml:space="preserve">. Основные стандарты аудиторской деятельности в применении к аудиту финансовой отчетности кредитных организаций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7"/>
        </w:numPr>
        <w:ind w:left="675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цель и основные принципы аудита финансовой отчетности кредитных организаций как общественно значимых организаций. Группы пользователей финансовой отчетности и их интересы;</w:t>
      </w:r>
      <w:r>
        <w:rPr>
          <w:rFonts w:eastAsia="Calibri"/>
          <w:lang w:eastAsia="en-US"/>
        </w:rPr>
      </w:r>
    </w:p>
    <w:p>
      <w:pPr>
        <w:numPr>
          <w:ilvl w:val="0"/>
          <w:numId w:val="7"/>
        </w:numPr>
        <w:ind w:left="675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понимание деятельности аудируемого лица. Отраслевые, правовые и другие внешние факторы, влияющие на деятельность кредитных организаций, и связанные с ними риски;</w:t>
      </w:r>
      <w:r>
        <w:rPr>
          <w:rFonts w:eastAsia="Calibri"/>
          <w:lang w:eastAsia="en-US"/>
        </w:rPr>
      </w:r>
    </w:p>
    <w:p>
      <w:pPr>
        <w:numPr>
          <w:ilvl w:val="0"/>
          <w:numId w:val="7"/>
        </w:numPr>
        <w:ind w:left="675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организации внутреннего аудита в банках и рассмотрение результатов его работы в аудите;</w:t>
      </w:r>
      <w:r>
        <w:rPr>
          <w:rFonts w:eastAsia="Calibri"/>
          <w:lang w:eastAsia="en-US"/>
        </w:rPr>
      </w:r>
    </w:p>
    <w:p>
      <w:pPr>
        <w:numPr>
          <w:ilvl w:val="0"/>
          <w:numId w:val="7"/>
        </w:numPr>
        <w:ind w:left="675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применения правил независимости при аудите кредитных организаций.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</w:t>
      </w:r>
      <w:r>
        <w:rPr>
          <w:rFonts w:eastAsia="Calibri"/>
          <w:b/>
          <w:lang w:eastAsia="en-US"/>
        </w:rPr>
        <w:t xml:space="preserve">20</w:t>
      </w:r>
      <w:r>
        <w:rPr>
          <w:rFonts w:eastAsia="Calibri"/>
          <w:b/>
          <w:bCs/>
          <w:lang w:eastAsia="en-US"/>
        </w:rPr>
        <w:t xml:space="preserve">. Аналитические процедуры при аудите кредитных организаций. </w:t>
      </w:r>
      <w:r>
        <w:rPr>
          <w:rFonts w:eastAsia="Calibri"/>
          <w:b/>
          <w:lang w:eastAsia="en-US"/>
        </w:rPr>
        <w:t xml:space="preserve">Международный отчет о практике аудита (МОПА) 1000 "Особенности аудита финансовых инструментов"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8"/>
        </w:numPr>
        <w:ind w:left="675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аналитические процедуры, применяемые в ходе проверки соблюдения банками контрольных нормативов, установленных Банком России;</w:t>
      </w:r>
      <w:r>
        <w:rPr>
          <w:rFonts w:eastAsia="Calibri"/>
          <w:lang w:eastAsia="en-US"/>
        </w:rPr>
      </w:r>
    </w:p>
    <w:p>
      <w:pPr>
        <w:numPr>
          <w:ilvl w:val="0"/>
          <w:numId w:val="8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Положения Международного отчета о практике аудита (МОПА) 1000 "Особенности аудита финансовых инструментов";</w:t>
      </w:r>
      <w:r>
        <w:rPr>
          <w:rFonts w:eastAsia="Calibri"/>
          <w:lang w:eastAsia="en-US"/>
        </w:rPr>
      </w:r>
    </w:p>
    <w:p>
      <w:pPr>
        <w:numPr>
          <w:ilvl w:val="0"/>
          <w:numId w:val="8"/>
        </w:numPr>
        <w:ind w:left="675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применения аналитических процедур при проверке применимости допущения непрерывности деятельности кредитной организации.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</w:t>
      </w:r>
      <w:r>
        <w:rPr>
          <w:rFonts w:eastAsia="Calibri"/>
          <w:b/>
          <w:lang w:eastAsia="en-US"/>
        </w:rPr>
        <w:t xml:space="preserve">21. Аудит</w:t>
      </w:r>
      <w:r>
        <w:rPr>
          <w:rFonts w:eastAsia="Calibri"/>
          <w:b/>
          <w:bCs/>
          <w:lang w:eastAsia="en-US"/>
        </w:rPr>
        <w:t xml:space="preserve"> соблюдения кредитными организациями требований нормативных правовых актов в ходе аудита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9"/>
        </w:numPr>
        <w:ind w:left="675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рассмотрение соблюдения банками надзорных требований, установленных Банком России;</w:t>
      </w:r>
      <w:r>
        <w:rPr>
          <w:rFonts w:eastAsia="Calibri"/>
          <w:lang w:eastAsia="en-US"/>
        </w:rPr>
      </w:r>
    </w:p>
    <w:p>
      <w:pPr>
        <w:numPr>
          <w:ilvl w:val="0"/>
          <w:numId w:val="9"/>
        </w:numPr>
        <w:ind w:left="675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рассмотрение соблюдения банками налогового законодательства, в части обслуживания ими клиентских счетов;</w:t>
      </w:r>
      <w:r>
        <w:rPr>
          <w:rFonts w:eastAsia="Calibri"/>
          <w:lang w:eastAsia="en-US"/>
        </w:rPr>
      </w:r>
    </w:p>
    <w:p>
      <w:pPr>
        <w:numPr>
          <w:ilvl w:val="0"/>
          <w:numId w:val="9"/>
        </w:numPr>
        <w:ind w:left="675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требований законодательства по предотвращению легализации преступных доходов и финансирования терроризма при аудите банков.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 xml:space="preserve">Глубокое понимание специфики бухгалтерского учета, налогообложения и ау</w:t>
      </w:r>
      <w:r>
        <w:rPr>
          <w:rFonts w:eastAsia="Calibri"/>
          <w:lang w:eastAsia="en-US"/>
        </w:rPr>
        <w:t xml:space="preserve">дита кредитной организации. Знание и умение применять при аудите кредитных организаций норм федерального законодательства, подзаконных нормативных правовых актов, в том числе нормативных актов Банков России, регулирующих деятельность кредитных организаций.</w:t>
      </w:r>
      <w:r>
        <w:rPr>
          <w:rFonts w:eastAsiaTheme="minorHAnsi"/>
          <w:lang w:eastAsia="en-US"/>
        </w:rPr>
      </w:r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rFonts w:eastAsiaTheme="minorHAnsi"/>
          <w:b/>
          <w:lang w:eastAsia="en-US"/>
        </w:rPr>
      </w:r>
      <w:r>
        <w:rPr>
          <w:rFonts w:eastAsiaTheme="minorHAnsi"/>
          <w:b/>
          <w:lang w:eastAsia="en-US"/>
        </w:rPr>
      </w:r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rFonts w:eastAsiaTheme="minorHAnsi"/>
          <w:b/>
          <w:lang w:eastAsia="en-US"/>
        </w:rPr>
        <w:t xml:space="preserve">6-4-05 «ОТРАСЛЕВЫЕ СТАНДАРТЫ БУХГАЛТЕРСКОГО УЧЕТА: КРЕДИТНЫЕ ОРГАНИЗАЦИИ»</w:t>
      </w:r>
      <w:r>
        <w:rPr>
          <w:rFonts w:eastAsiaTheme="minorHAnsi"/>
          <w:b/>
          <w:lang w:eastAsia="en-US"/>
        </w:rPr>
      </w:r>
    </w:p>
    <w:p>
      <w:pPr>
        <w:jc w:val="both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jc w:val="both"/>
      </w:pPr>
      <w:r>
        <w:rPr>
          <w:b/>
        </w:rPr>
        <w:t xml:space="preserve">Продолжительность обучения</w:t>
      </w:r>
      <w:r>
        <w:t xml:space="preserve"> – 20 академических часов.</w:t>
      </w:r>
      <w:r/>
    </w:p>
    <w:p>
      <w:pPr>
        <w:jc w:val="both"/>
      </w:pPr>
      <w:r/>
      <w:r/>
    </w:p>
    <w:p>
      <w:pPr>
        <w:jc w:val="both"/>
      </w:pPr>
      <w:r>
        <w:rPr>
          <w:b/>
        </w:rPr>
        <w:t xml:space="preserve">Цель программы</w:t>
      </w:r>
      <w:r>
        <w:t xml:space="preserve"> – углубление </w:t>
      </w:r>
      <w:r>
        <w:t xml:space="preserve">знаний аудиторов и руководителей аудита общественно значимых организаций, желающих специализироваться на аудите кредитных организаций, в части банковского законодательства, особенностей деятельности кредитных организаций, организации бухгалтерского учета. 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1. Общие вопросы применения отраслевых стандартов для кредитных организаций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53"/>
        </w:numPr>
        <w:contextualSpacing/>
        <w:ind w:left="426" w:hanging="426"/>
        <w:jc w:val="both"/>
        <w:rPr>
          <w:rFonts w:eastAsia="Tahoma"/>
        </w:rPr>
      </w:pPr>
      <w:r>
        <w:rPr>
          <w:rFonts w:eastAsia="Tahoma"/>
        </w:rPr>
        <w:t xml:space="preserve">Положение отраслевых стандартов в системе нормативно-правовых актов, регламентирующих порядок бухгалтерского учета в РФ, сфера применения и порядок разработки и утверждения.</w:t>
      </w:r>
      <w:r>
        <w:rPr>
          <w:rFonts w:eastAsia="Tahoma"/>
        </w:rPr>
      </w:r>
    </w:p>
    <w:p>
      <w:pPr>
        <w:numPr>
          <w:ilvl w:val="0"/>
          <w:numId w:val="53"/>
        </w:numPr>
        <w:contextualSpacing/>
        <w:ind w:left="426" w:hanging="426"/>
        <w:jc w:val="both"/>
        <w:rPr>
          <w:rFonts w:eastAsia="Tahoma"/>
        </w:rPr>
      </w:pPr>
      <w:r>
        <w:rPr>
          <w:rFonts w:eastAsia="Tahoma"/>
        </w:rPr>
        <w:t xml:space="preserve">Состав действующих отраслевых стандартов для кредитных организаций.</w:t>
      </w:r>
      <w:r>
        <w:rPr>
          <w:rFonts w:eastAsia="Tahoma"/>
        </w:rPr>
      </w:r>
    </w:p>
    <w:p>
      <w:pPr>
        <w:numPr>
          <w:ilvl w:val="0"/>
          <w:numId w:val="53"/>
        </w:numPr>
        <w:contextualSpacing/>
        <w:ind w:left="426" w:hanging="426"/>
        <w:jc w:val="both"/>
        <w:rPr>
          <w:rFonts w:eastAsia="Tahoma"/>
        </w:rPr>
      </w:pPr>
      <w:r>
        <w:rPr>
          <w:rFonts w:eastAsia="Tahoma"/>
        </w:rPr>
        <w:t xml:space="preserve">Последние принятые и планируемые изменения отраслевых стандартов для кредитных организаций.</w:t>
      </w:r>
      <w:r>
        <w:rPr>
          <w:rFonts w:eastAsia="Tahoma"/>
        </w:rPr>
      </w:r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2. Отраслевые стандарты бухгалтерского учета для кредитных организаций, устанавливающие общие принципы ведения бухгалтерского учета и порядок составления бухгалтерской (финансовой) отчетности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54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Рассмотрение ключевых особенностей данных отраслевых стандартов:</w:t>
      </w:r>
      <w:r>
        <w:rPr>
          <w:rFonts w:eastAsia="Tahoma"/>
        </w:rPr>
      </w:r>
    </w:p>
    <w:p>
      <w:pPr>
        <w:numPr>
          <w:ilvl w:val="1"/>
          <w:numId w:val="54"/>
        </w:numPr>
        <w:jc w:val="both"/>
      </w:pPr>
      <w:r>
        <w:t xml:space="preserve">Положение Банка России от 27.02.2017 N 579-П План счетов бухгалтерского учета для кредитных организаций и порядок его применения</w:t>
      </w:r>
      <w:r/>
    </w:p>
    <w:p>
      <w:pPr>
        <w:numPr>
          <w:ilvl w:val="1"/>
          <w:numId w:val="54"/>
        </w:numPr>
        <w:jc w:val="both"/>
      </w:pPr>
      <w:r>
        <w:t xml:space="preserve">Положение Банка России 22.12.2014 N 446-П О порядке определения доходов, расходов и прочего совокупного дохода кредитных организаций</w:t>
      </w:r>
      <w:r/>
    </w:p>
    <w:p>
      <w:pPr>
        <w:numPr>
          <w:ilvl w:val="1"/>
          <w:numId w:val="54"/>
        </w:numPr>
        <w:jc w:val="both"/>
      </w:pPr>
      <w:r>
        <w:t xml:space="preserve">Указание Банка России от 04.09.2013 N 3054-У Порядок составления кредитными организациями годовой бухгалтерской (финансовой) отчетности</w:t>
      </w:r>
      <w:r/>
    </w:p>
    <w:p>
      <w:pPr>
        <w:numPr>
          <w:ilvl w:val="1"/>
          <w:numId w:val="54"/>
        </w:numPr>
        <w:jc w:val="both"/>
      </w:pPr>
      <w:r>
        <w:t xml:space="preserve">Указание Банка России от 08.10.2018 N 4927-У О перечне, формах и порядке составления и представления форм отчетности кредитных организаций в Центральный банк Российской Федерации</w:t>
      </w:r>
      <w:r/>
    </w:p>
    <w:p>
      <w:pPr>
        <w:numPr>
          <w:ilvl w:val="1"/>
          <w:numId w:val="54"/>
        </w:numPr>
        <w:jc w:val="both"/>
      </w:pPr>
      <w:r>
        <w:t xml:space="preserve">Указание Банка России от 27.11.2018 N 4983-У О формах, порядке и сроках раскрытия кредитными организациями информации о своей деятельности</w:t>
      </w:r>
      <w:r/>
    </w:p>
    <w:p>
      <w:pPr>
        <w:numPr>
          <w:ilvl w:val="0"/>
          <w:numId w:val="54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Рекомендации Минфина РФ в отношении аудита бухгалтерской (финансовой) отчетности кредитных организаций, связанные с отдельными вопросами применения отраслевых стандартов.</w:t>
      </w:r>
      <w:r>
        <w:rPr>
          <w:rFonts w:eastAsia="Tahoma"/>
        </w:rPr>
      </w:r>
    </w:p>
    <w:p>
      <w:pPr>
        <w:numPr>
          <w:ilvl w:val="0"/>
          <w:numId w:val="54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Обсуждение спорных и сложных ситуаций из практики применения данных отраслевых стандартов.</w:t>
      </w:r>
      <w:r>
        <w:rPr>
          <w:rFonts w:eastAsia="Tahoma"/>
        </w:rPr>
      </w:r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3. Отраслевые стандарты бухгалтерского учета для кредитных организаций, регламентирующие порядок бухгалтерского учета финансовых инструментов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55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Рассмотрение ключевых особенностей данных отраслевых стандартов:</w:t>
      </w:r>
      <w:r>
        <w:rPr>
          <w:rFonts w:eastAsia="Tahoma"/>
        </w:rPr>
      </w:r>
    </w:p>
    <w:p>
      <w:pPr>
        <w:numPr>
          <w:ilvl w:val="1"/>
          <w:numId w:val="55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Положение Банка России 02.10.2017 N 604-П О порядке отражения на счета</w:t>
      </w:r>
      <w:r>
        <w:rPr>
          <w:rFonts w:eastAsia="Tahoma"/>
        </w:rPr>
        <w:t xml:space="preserve">х бухгалтерского учета кредитными организациями операций по привлечению денежных средств по договорам банковского вклада (депозита), кредитным договорам, операций по выпуску и погашению (оплате) облигаций, векселей, депозитных и сберегательных сертификатов</w:t>
      </w:r>
      <w:r>
        <w:rPr>
          <w:rFonts w:eastAsia="Tahoma"/>
        </w:rPr>
      </w:r>
    </w:p>
    <w:p>
      <w:pPr>
        <w:numPr>
          <w:ilvl w:val="1"/>
          <w:numId w:val="55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Положение Банка России 02.10.2017 N 605-П О порядке отражения на счетах бухгалтерского учета кредитными организациями операций по размещению денежных сре</w:t>
      </w:r>
      <w:r>
        <w:rPr>
          <w:rFonts w:eastAsia="Tahoma"/>
        </w:rPr>
        <w:t xml:space="preserve">дств по кредитным договорам, операций, связанных с осуществлением сделок по приобретению права требования от третьих лиц исполнения обязательств в денежной форме, операций по обязательствам по выданным банковским гарантиям и предоставлению денежных средств</w:t>
      </w:r>
      <w:r>
        <w:rPr>
          <w:rFonts w:eastAsia="Tahoma"/>
        </w:rPr>
      </w:r>
    </w:p>
    <w:p>
      <w:pPr>
        <w:numPr>
          <w:ilvl w:val="1"/>
          <w:numId w:val="55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Положение Банка России 02.10.2017 N 606-П О порядке отражения на счетах бухгалтерского учета кредитными организациями операций с ценными бумагами</w:t>
      </w:r>
      <w:r>
        <w:rPr>
          <w:rFonts w:eastAsia="Tahoma"/>
        </w:rPr>
      </w:r>
    </w:p>
    <w:p>
      <w:pPr>
        <w:numPr>
          <w:ilvl w:val="1"/>
          <w:numId w:val="55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Положение Банка России 04.07.2011 N 372-П О порядке бухгалтерского учета производных финансовых инструментов</w:t>
      </w:r>
      <w:r>
        <w:rPr>
          <w:rFonts w:eastAsia="Tahoma"/>
        </w:rPr>
      </w:r>
    </w:p>
    <w:p>
      <w:pPr>
        <w:numPr>
          <w:ilvl w:val="1"/>
          <w:numId w:val="55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Положение Банка России от 21.11.2017 N 617-П О порядке отражения на счетах бухгалтерского учета кредитными организациями операций хеджирования</w:t>
      </w:r>
      <w:r>
        <w:rPr>
          <w:rFonts w:eastAsia="Tahoma"/>
        </w:rPr>
      </w:r>
    </w:p>
    <w:p>
      <w:pPr>
        <w:numPr>
          <w:ilvl w:val="0"/>
          <w:numId w:val="55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Существующие различия в порядке бухгалтерского учета финансовых инструментов между требованиями отраслевых стандартов для кредитных организаций, основанных на МСФО, и требованиями МСФО.</w:t>
      </w:r>
      <w:r>
        <w:rPr>
          <w:rFonts w:eastAsia="Tahoma"/>
        </w:rPr>
      </w:r>
    </w:p>
    <w:p>
      <w:pPr>
        <w:numPr>
          <w:ilvl w:val="0"/>
          <w:numId w:val="55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Обсуждение спорных и сложных ситуаций из практики применения данных отраслевых стандартов.</w:t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4. Отраслевые стандарты бухгалтерского учета для кредитных организаций, регламентирующие порядок бухгалтерского учета иных отдельных операций</w:t>
      </w:r>
      <w:r>
        <w:rPr>
          <w:b/>
        </w:rPr>
      </w:r>
    </w:p>
    <w:p>
      <w:pPr>
        <w:contextualSpacing/>
        <w:ind w:left="360"/>
        <w:jc w:val="both"/>
        <w:rPr>
          <w:rFonts w:eastAsia="Tahoma"/>
        </w:rPr>
      </w:pPr>
      <w:r>
        <w:rPr>
          <w:rFonts w:eastAsia="Tahoma"/>
        </w:rPr>
      </w:r>
      <w:r>
        <w:rPr>
          <w:rFonts w:eastAsia="Tahoma"/>
        </w:rPr>
      </w:r>
    </w:p>
    <w:p>
      <w:pPr>
        <w:numPr>
          <w:ilvl w:val="0"/>
          <w:numId w:val="56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Рассмотрение ключевых особенностей данных отраслевых стандартов:</w:t>
      </w:r>
      <w:r>
        <w:rPr>
          <w:rFonts w:eastAsia="Tahoma"/>
        </w:rPr>
      </w:r>
    </w:p>
    <w:p>
      <w:pPr>
        <w:numPr>
          <w:ilvl w:val="1"/>
          <w:numId w:val="56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Положение Банка России 22.12.2014 N 448-П О порядке бухгалтерского учета основных средств, нематериальных активов, не</w:t>
      </w:r>
      <w:r>
        <w:rPr>
          <w:rFonts w:eastAsia="Tahoma"/>
        </w:rPr>
        <w:t xml:space="preserve">движимости, временно неиспользуемой в основной деятельности, долгосрочных активов, предназначенных для продажи, запасов, средств труда и предметов труда, полученных по договорам отступного, залога, назначение которых не определено, в кредитных организациях</w:t>
      </w:r>
      <w:r>
        <w:rPr>
          <w:rFonts w:eastAsia="Tahoma"/>
        </w:rPr>
      </w:r>
    </w:p>
    <w:p>
      <w:pPr>
        <w:numPr>
          <w:ilvl w:val="1"/>
          <w:numId w:val="56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Положение Банка России 12.11.2018 N 659-П О порядке отражения на счетах бухгалтерского учета договоров аренды кредитными организациями</w:t>
      </w:r>
      <w:r>
        <w:rPr>
          <w:rFonts w:eastAsia="Tahoma"/>
        </w:rPr>
      </w:r>
    </w:p>
    <w:p>
      <w:pPr>
        <w:numPr>
          <w:ilvl w:val="1"/>
          <w:numId w:val="56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Положение Банка России 15.04.2015 N 465-П Отраслевой стандарт бухгалтерского учета вознаграждений работникам в кредитных организациях</w:t>
      </w:r>
      <w:r>
        <w:rPr>
          <w:rFonts w:eastAsia="Tahoma"/>
        </w:rPr>
      </w:r>
    </w:p>
    <w:p>
      <w:pPr>
        <w:numPr>
          <w:ilvl w:val="1"/>
          <w:numId w:val="56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Положение Банка России 25.11.2013 N 409-П Порядок бухгалтерского учета отложенных налоговых обязательств и отложенных налоговых активов</w:t>
      </w:r>
      <w:r>
        <w:rPr>
          <w:rFonts w:eastAsia="Tahoma"/>
        </w:rPr>
      </w:r>
    </w:p>
    <w:p>
      <w:pPr>
        <w:numPr>
          <w:ilvl w:val="0"/>
          <w:numId w:val="56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Обсуждение спорных и сложных ситуаций из практики применения данных отраслевых стандартов.</w:t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понимание отраслевых стандартов бухгалтерского учета и правил составления бухгалтерской (финансовой) отчетности кредитных финансовых организаций, необходимое для проведения аудита.</w:t>
      </w:r>
      <w:r/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6-4-06 «ОСНОВЫ БУХГАЛТЕРСКОГО УЧЕТА И ФИНАНСОВОЙ ОТЧЕТНОСТИ КРЕДИТНЫХ ФИНАНСОВЫХ ОРГАНИЗАЦИЙ. ОСОБЕННОСТИ АУДИТА КФО»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40 академических часов.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– углубление знаний аудиторов и руководителей аудита общественно значимых организаций, желающих специализироваться на аудите кредитных организаций, в части банковского законодательства, особенностей организации бухгалтерского учета.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Общие вопросы применения отраслевых стандартов для кредитных организаций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59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отраслевых стандартов в системе нормативно-правовых актов, регламентирующих порядок бухгалтерского учета в РФ, сфера применения и порядок разработки и утверждения.</w:t>
      </w:r>
      <w:r>
        <w:rPr>
          <w:rFonts w:eastAsia="Tahoma"/>
          <w:lang w:eastAsia="en-US"/>
        </w:rPr>
      </w:r>
    </w:p>
    <w:p>
      <w:pPr>
        <w:numPr>
          <w:ilvl w:val="0"/>
          <w:numId w:val="59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Состав действующих отраслевых стандартов для кредитных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59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Последние принятые и планируемые изменения отраслевых стандартов для кредитных организаций.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Отраслевые стандарты бухгалтерского учета для кредитных организаций, устанавливающие общие принципы ведения бухгалтерского учета и порядок составления бухгалтерской (финансовой) отчетности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60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Рассмотрение ключевых особенностей данных отраслевых стандартов:</w:t>
      </w:r>
      <w:r>
        <w:rPr>
          <w:rFonts w:eastAsia="Tahoma"/>
          <w:lang w:eastAsia="en-US"/>
        </w:rPr>
      </w:r>
    </w:p>
    <w:p>
      <w:pPr>
        <w:numPr>
          <w:ilvl w:val="0"/>
          <w:numId w:val="35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от 27.02.2017 N 579-П План счетов бухгалтерского учета для кредитных организаций и порядок его применения</w:t>
      </w:r>
      <w:r>
        <w:rPr>
          <w:rFonts w:eastAsia="Calibri"/>
          <w:lang w:eastAsia="en-US"/>
        </w:rPr>
      </w:r>
    </w:p>
    <w:p>
      <w:pPr>
        <w:numPr>
          <w:ilvl w:val="0"/>
          <w:numId w:val="35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22.12.2014 N 446-П О порядке определения доходов, расходов и прочего совокупного дохода кредитных организаций</w:t>
      </w:r>
      <w:r>
        <w:rPr>
          <w:rFonts w:eastAsia="Calibri"/>
          <w:lang w:eastAsia="en-US"/>
        </w:rPr>
      </w:r>
    </w:p>
    <w:p>
      <w:pPr>
        <w:numPr>
          <w:ilvl w:val="0"/>
          <w:numId w:val="35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Указание Банка России от 04.09.2013 N 3054-У Порядок составления кредитными организациями годовой бухгалтерской (финансовой) отчетности</w:t>
      </w:r>
      <w:r>
        <w:rPr>
          <w:rFonts w:eastAsia="Calibri"/>
          <w:lang w:eastAsia="en-US"/>
        </w:rPr>
      </w:r>
    </w:p>
    <w:p>
      <w:pPr>
        <w:numPr>
          <w:ilvl w:val="0"/>
          <w:numId w:val="35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Указание Банка России от 08.10.2018 N 4927-У О перечне, формах и порядке составления и представления форм отчетности кредитных организаций в Центральный банк Российской Федерации</w:t>
      </w:r>
      <w:r>
        <w:rPr>
          <w:rFonts w:eastAsia="Calibri"/>
          <w:lang w:eastAsia="en-US"/>
        </w:rPr>
      </w:r>
    </w:p>
    <w:p>
      <w:pPr>
        <w:numPr>
          <w:ilvl w:val="0"/>
          <w:numId w:val="35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Указание Банка России от 27.11.2018 N 4983-У О формах, порядке и сроках раскрытия кредитными организациями информации о своей деятельности</w:t>
      </w:r>
      <w:r>
        <w:rPr>
          <w:rFonts w:eastAsia="Calibri"/>
          <w:lang w:eastAsia="en-US"/>
        </w:rPr>
      </w:r>
    </w:p>
    <w:p>
      <w:pPr>
        <w:numPr>
          <w:ilvl w:val="0"/>
          <w:numId w:val="60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Рекомендации Минфина РФ в отношении аудита бухгалтерской (финансовой) отчетности кредитных организаций, связанные с отдельными вопросами применения отраслевых стандартов.</w:t>
      </w:r>
      <w:r>
        <w:rPr>
          <w:rFonts w:eastAsia="Tahoma"/>
          <w:lang w:eastAsia="en-US"/>
        </w:rPr>
      </w:r>
    </w:p>
    <w:p>
      <w:pPr>
        <w:numPr>
          <w:ilvl w:val="0"/>
          <w:numId w:val="60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спорных и сложных ситуаций практики применения данных отраслевых стандартов.</w:t>
      </w:r>
      <w:r>
        <w:rPr>
          <w:rFonts w:eastAsia="Tahoma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3. Отраслевые стандарты бухгалтерского учета для кредитных организаций, регламентирующие порядок бухгалтерского учета финансовых инструментов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Рассмотрение ключевых особенностей данных отраслевых стандартов:</w:t>
      </w:r>
      <w:r>
        <w:rPr>
          <w:rFonts w:eastAsia="Calibri"/>
          <w:lang w:eastAsia="en-US"/>
        </w:rPr>
      </w:r>
    </w:p>
    <w:p>
      <w:pPr>
        <w:numPr>
          <w:ilvl w:val="0"/>
          <w:numId w:val="36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02.10.2017 N 604-П О порядке отражения на счета</w:t>
      </w:r>
      <w:r>
        <w:rPr>
          <w:rFonts w:eastAsia="Calibri"/>
          <w:lang w:eastAsia="en-US"/>
        </w:rPr>
        <w:t xml:space="preserve">х бухгалтерского учета кредитными организациями операций по привлечению денежных средств по договорам банковского вклада (депозита), кредитным договорам, операций по выпуску и погашению (оплате) облигаций, векселей, депозитных и сберегательных сертификатов</w:t>
      </w:r>
      <w:r>
        <w:rPr>
          <w:rFonts w:eastAsia="Calibri"/>
          <w:lang w:eastAsia="en-US"/>
        </w:rPr>
      </w:r>
    </w:p>
    <w:p>
      <w:pPr>
        <w:numPr>
          <w:ilvl w:val="0"/>
          <w:numId w:val="36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02.10.2017 N 605-П О порядке отражения на счетах бухгалтерского учета кредитными организациями операций по размещению денежных сре</w:t>
      </w:r>
      <w:r>
        <w:rPr>
          <w:rFonts w:eastAsia="Calibri"/>
          <w:lang w:eastAsia="en-US"/>
        </w:rPr>
        <w:t xml:space="preserve">дств по кредитным договорам, операций, связанных с осуществлением сделок по приобретению права требования от третьих лиц исполнения обязательств в денежной форме, операций по обязательствам по выданным банковским гарантиям и предоставлению денежных средств</w:t>
      </w:r>
      <w:r>
        <w:rPr>
          <w:rFonts w:eastAsia="Calibri"/>
          <w:lang w:eastAsia="en-US"/>
        </w:rPr>
      </w:r>
    </w:p>
    <w:p>
      <w:pPr>
        <w:numPr>
          <w:ilvl w:val="0"/>
          <w:numId w:val="36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02.10.2017 N 606-П О порядке отражения на счетах бухгалтерского учета кредитными организациями операций с ценными бумагами</w:t>
      </w:r>
      <w:r>
        <w:rPr>
          <w:rFonts w:eastAsia="Calibri"/>
          <w:lang w:eastAsia="en-US"/>
        </w:rPr>
      </w:r>
    </w:p>
    <w:p>
      <w:pPr>
        <w:numPr>
          <w:ilvl w:val="0"/>
          <w:numId w:val="36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04.07.2011 N 372-П О порядке бухгалтерского учета производных финансовых инструментов</w:t>
      </w:r>
      <w:r>
        <w:rPr>
          <w:rFonts w:eastAsia="Calibri"/>
          <w:lang w:eastAsia="en-US"/>
        </w:rPr>
      </w:r>
    </w:p>
    <w:p>
      <w:pPr>
        <w:numPr>
          <w:ilvl w:val="0"/>
          <w:numId w:val="36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от 21.11.2017 N 617-П О порядке отражения на счетах бухгалтерского учета кредитными организациями операций хеджирования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Существующие различия в порядке бухгалтерского учета финансовых инструментов между требованиями отраслевых стандартов для кредитных организаций, основанных на МСФО, и требованиями МСФО.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Обсуждение спорных и сложных ситуаций практики применения данных отраслевых стандартов.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4. Отраслевые стандарты бухгалтерского учета для кредитных организаций, регламентирующие порядок бухгалтерского учета иных отдельных операций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61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Рассмотрение ключевых особенностей данных отраслевых стандартов:</w:t>
      </w:r>
      <w:r>
        <w:rPr>
          <w:rFonts w:eastAsia="Tahoma"/>
          <w:lang w:eastAsia="en-US"/>
        </w:rPr>
      </w:r>
    </w:p>
    <w:p>
      <w:pPr>
        <w:numPr>
          <w:ilvl w:val="1"/>
          <w:numId w:val="62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Банка России 22.12.2014 N 448-П О порядке бухгалтерского учета основных средств, нематериальных активов, не</w:t>
      </w:r>
      <w:r>
        <w:rPr>
          <w:rFonts w:eastAsia="Tahoma"/>
          <w:lang w:eastAsia="en-US"/>
        </w:rPr>
        <w:t xml:space="preserve">движимости, временно неиспользуемой в основной деятельности, долгосрочных активов, предназначенных для продажи, запасов, средств труда и предметов труда, полученных по договорам отступного, залога, назначение которых не определено, в кредитных организациях</w:t>
      </w:r>
      <w:r>
        <w:rPr>
          <w:rFonts w:eastAsia="Tahoma"/>
          <w:lang w:eastAsia="en-US"/>
        </w:rPr>
      </w:r>
    </w:p>
    <w:p>
      <w:pPr>
        <w:numPr>
          <w:ilvl w:val="1"/>
          <w:numId w:val="62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Банка России 12.11.2018 N 659-П О порядке отражения на счетах бухгалтерского учета договоров аренды кредитными организациями</w:t>
      </w:r>
      <w:r>
        <w:rPr>
          <w:rFonts w:eastAsia="Tahoma"/>
          <w:lang w:eastAsia="en-US"/>
        </w:rPr>
      </w:r>
    </w:p>
    <w:p>
      <w:pPr>
        <w:numPr>
          <w:ilvl w:val="1"/>
          <w:numId w:val="62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Банка России 15.04.2015 N 465-П Отраслевой стандарт бухгалтерского учета вознаграждений работникам в кредитных организациях</w:t>
      </w:r>
      <w:r>
        <w:rPr>
          <w:rFonts w:eastAsia="Tahoma"/>
          <w:lang w:eastAsia="en-US"/>
        </w:rPr>
      </w:r>
    </w:p>
    <w:p>
      <w:pPr>
        <w:numPr>
          <w:ilvl w:val="1"/>
          <w:numId w:val="62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Банка России 25.11.2013 N 409-П Порядок бухгалтерского учета отложенных налоговых обязательств и отложенных налоговых активов</w:t>
      </w:r>
      <w:r>
        <w:rPr>
          <w:rFonts w:eastAsia="Tahoma"/>
          <w:lang w:eastAsia="en-US"/>
        </w:rPr>
      </w:r>
    </w:p>
    <w:p>
      <w:pPr>
        <w:numPr>
          <w:ilvl w:val="0"/>
          <w:numId w:val="61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спорных и сложных ситуаций из практики применения данных отраслевых стандартов.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5. Особенн</w:t>
      </w:r>
      <w:r>
        <w:rPr>
          <w:rFonts w:eastAsia="Calibri"/>
          <w:b/>
          <w:lang w:eastAsia="en-US"/>
        </w:rPr>
        <w:t xml:space="preserve">ости структуры и содержания отчетов, входящих в состав финансовой отчетности по МСФО кредитных организаций. Практика применения МСФО (IAS) 1 «Представление финансовой отчетности» и МСФО (IAS) 7 «Отчет о движении денежных средств» для финансовых организаций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6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Особенности структуры и порядка представления статей в отчете о финансовом положении кредитных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6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Особенности структуры и порядка представления статей в отчете о совокупном доходе кредитных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6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Особенности структуры и порядка представления статей в отчете о движении денежных средств кредитных организаций. Практика применения методов составления ОДДС для финансовых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6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практических вопросов представления информации в отчетах, входящих в состав финансовой отчетности по МСФО кредитных организаций.</w:t>
      </w:r>
      <w:r>
        <w:rPr>
          <w:rFonts w:eastAsia="Tahoma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6. Особенности раскрытия информации в примечаниях к финансовой отчетности по МСФО кредитных организаций 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64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финансовой отчетности по МСФО кредитных организаций об основных положениях учетной политики кредитной организации, в т.ч. в отношении: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признания и прекращения признания, классификации и оценки финансовых инструментов в соответствии с МСФО (IFRS) 9;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модели оценки резервов под ожидаемые кредитные убытки по финансовым инструментам в соответствии с МСФО (IFRS) 9, подходов к ее валидации и обновлению;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признания процентных доходов по эффективной процентной ставке и прочих процентных доходов;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подходов к признанию и учету модификации финансовых инструментов в соответствии с МСФО (IFRS) 9;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критериев признания в качестве эквивалентов денежных средств;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порядка учета выданных финансовых и нефинансовых гарантий;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 других значимых учетных положений для банковской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64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финансовой отчетности по МСФО кредитных организаций о важных оценочных суждениях при применении учетной политики кредитной организации, в т.ч. в отношении: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оценки резервов под ожидаемые кредитные убытки по финансовым инструментам в соответствии с МСФО (IFRS) 9;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определения справедливой стоимости финансовых инструментов, отнесенных к уровням 2 и 3 иерархии справедливой стоимости по МСФО (IFRS) 13; 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 других значимых оценочных суждений для банковской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64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примечаниях к финансовой отчетности по МСФО кредитных организаций по статьям отчета о финансовом положении и по операциям, характерным для деятельности кредитных организаций: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межбанковские кредиты и депозиты;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сделки РЕПО;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привлеченные и размещенные субординированные кредиты и депозиты;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вложения в ценные бумаги;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выданные кредиты клиентам;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привлеченные средства клиентов;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выпущенные ценные бумаги;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кредитные линии и овердрафты;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выданные банковские гарантии;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иные значимые операции для банковской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64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примечаниях к финансовой отчетности по МСФО кредитных организаций по статьям отчета о совокупном доходе, характерным для деятельности кредитных организаций: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процентные доходы и расходы;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комиссионные доходы и расходы;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изменение оценочного резерва под ожидаемые кредитные убытки;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прочие значимые доходы/ расходы от банковской и иной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64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примечаниях к финансовой отчетности по МСФО кредитных организаций об оценке справедливой стоимос</w:t>
      </w:r>
      <w:r>
        <w:rPr>
          <w:rFonts w:eastAsia="Tahoma"/>
          <w:lang w:eastAsia="en-US"/>
        </w:rPr>
        <w:t xml:space="preserve">ти финансовых инструментов по МСФО (IFRS) 13, включая раскрытие информации количественного и качественного характера в отношении финансовых инструментов, как учитываемых по справедливой стоимости, так и справедливая стоимость которых раскрывается отдельно.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numPr>
          <w:ilvl w:val="0"/>
          <w:numId w:val="64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практических вопросов раскрытия информации в примечаниях к финансовой отчетности по МСФО кредитных организаций.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7. Подходы к раскрытию информации количественного и качественного характера в отношении управления рисками и капиталом кредитных организаций в финансовой отчетности по МСФО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65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Общие требования к раскрытию информации о рисках деятельности кредитных организаций, установленные МСФО (IFRS) 7.</w:t>
      </w:r>
      <w:r>
        <w:rPr>
          <w:rFonts w:eastAsia="Tahoma"/>
          <w:lang w:eastAsia="en-US"/>
        </w:rPr>
      </w:r>
    </w:p>
    <w:p>
      <w:pPr>
        <w:numPr>
          <w:ilvl w:val="0"/>
          <w:numId w:val="65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Классификация рисков. Значимые и прочие риски. Финансовые и нефинансовые риски.</w:t>
      </w:r>
      <w:r>
        <w:rPr>
          <w:rFonts w:eastAsia="Tahoma"/>
          <w:lang w:eastAsia="en-US"/>
        </w:rPr>
      </w:r>
    </w:p>
    <w:p>
      <w:pPr>
        <w:numPr>
          <w:ilvl w:val="0"/>
          <w:numId w:val="65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Содержание и состав количественной и качественной информации о рисках деятельности, минимально необходимой для удовлетворения всех требований МСФО (IFRS) 7 с учетом специфики бизнеса кредитных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65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наилучшей практики раскрытия информации о рисках деятельности кредитных организаций в разрезе основных рисков: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кредитный риск;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рыночный риск (в т.ч. процентный, валютный, фондовый, товарный);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риск ликвидности;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операционный риск;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прочие риски.</w:t>
      </w:r>
      <w:r>
        <w:rPr>
          <w:rFonts w:eastAsia="Calibri"/>
          <w:lang w:eastAsia="en-US"/>
        </w:rPr>
      </w:r>
    </w:p>
    <w:p>
      <w:pPr>
        <w:numPr>
          <w:ilvl w:val="0"/>
          <w:numId w:val="65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наилучшей практики раскрытия информации о подходах к управлению капиталом и рисками в отношении соблюдения требований Банка России к величине собственных средств (капитала) и обязательных нормативов кредитными организациями.</w:t>
      </w:r>
      <w:r>
        <w:rPr>
          <w:rFonts w:eastAsia="Tahoma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8. Практические вопросы аудита кредитных организаций</w:t>
      </w:r>
      <w:r>
        <w:rPr>
          <w:rFonts w:eastAsia="Calibri"/>
          <w:b/>
          <w:lang w:eastAsia="en-US"/>
        </w:rPr>
      </w:r>
    </w:p>
    <w:p>
      <w:pPr>
        <w:ind w:firstLine="540"/>
        <w:jc w:val="both"/>
        <w:spacing w:before="240"/>
        <w:widowControl w:val="off"/>
      </w:pPr>
      <w:r>
        <w:t xml:space="preserve">1. Корректность расчета нормативов достаточности собственных средств (капитала)</w:t>
      </w:r>
      <w:r>
        <w:t xml:space="preserve"> с учетом правомерности применяемых надбавок к коэффициентам риска по отдельным видам активов, определенным в зависимости от значений показателя долговой нагрузки, а также расчета полной стоимости кредита/займа в соответствии с установленными требованиями.</w:t>
      </w:r>
      <w:r/>
    </w:p>
    <w:p>
      <w:pPr>
        <w:ind w:firstLine="540"/>
        <w:jc w:val="both"/>
        <w:spacing w:before="240"/>
        <w:widowControl w:val="off"/>
      </w:pPr>
      <w:r>
        <w:t xml:space="preserve">2. Соблюдение кредитными организациями, принявшими решение о применении финализированного подхода к расчету нормативов достаточности капитала, порядка включения в расчет указанных нормативов требований по ипотечным ссудам.</w:t>
      </w:r>
      <w:r/>
    </w:p>
    <w:p>
      <w:pPr>
        <w:ind w:firstLine="540"/>
        <w:jc w:val="both"/>
        <w:spacing w:before="240"/>
        <w:widowControl w:val="off"/>
      </w:pPr>
      <w:r>
        <w:t xml:space="preserve">3. Корректность учета выданных кредитов/займов в зависимости от срока их погашения.</w:t>
      </w:r>
      <w:r/>
    </w:p>
    <w:p>
      <w:pPr>
        <w:ind w:firstLine="540"/>
        <w:jc w:val="both"/>
        <w:spacing w:before="240"/>
        <w:widowControl w:val="off"/>
      </w:pPr>
      <w:r>
        <w:t xml:space="preserve">4. Применение кредитными организациями Международного </w:t>
      </w:r>
      <w:hyperlink r:id="rId30" w:tooltip="https://login.consultant.ru/link/?req=doc&amp;demo=2&amp;base=LAW&amp;n=394847&amp;date=26.06.2022" w:history="1">
        <w:r>
          <w:t xml:space="preserve">стандарта</w:t>
        </w:r>
      </w:hyperlink>
      <w:r>
        <w:t xml:space="preserve"> финансовой отчетности (IFRS) 16 "Аренда" , в том числе обоснованность:</w:t>
      </w:r>
      <w:r/>
    </w:p>
    <w:p>
      <w:pPr>
        <w:ind w:firstLine="540"/>
        <w:jc w:val="both"/>
        <w:widowControl w:val="off"/>
      </w:pPr>
      <w:r/>
      <w:r/>
    </w:p>
    <w:p>
      <w:pPr>
        <w:ind w:firstLine="540"/>
        <w:jc w:val="both"/>
        <w:widowControl w:val="off"/>
      </w:pPr>
      <w:r>
        <w:t xml:space="preserve">классификации договоров аренды;</w:t>
      </w:r>
      <w:r/>
    </w:p>
    <w:p>
      <w:pPr>
        <w:ind w:firstLine="540"/>
        <w:jc w:val="both"/>
        <w:spacing w:before="240"/>
        <w:widowControl w:val="off"/>
      </w:pPr>
      <w:r>
        <w:t xml:space="preserve">расчета корректировок, связанных с переходом на новый </w:t>
      </w:r>
      <w:hyperlink r:id="rId31" w:tooltip="https://login.consultant.ru/link/?req=doc&amp;demo=2&amp;base=LAW&amp;n=394847&amp;date=26.06.2022" w:history="1">
        <w:r>
          <w:t xml:space="preserve">стандарт</w:t>
        </w:r>
      </w:hyperlink>
      <w:r>
        <w:t xml:space="preserve"> при первоначальном применении;</w:t>
      </w:r>
      <w:r/>
    </w:p>
    <w:p>
      <w:pPr>
        <w:ind w:firstLine="540"/>
        <w:jc w:val="both"/>
        <w:spacing w:before="240"/>
        <w:widowControl w:val="off"/>
      </w:pPr>
      <w:r>
        <w:t xml:space="preserve">использования освобождений от применения требований </w:t>
      </w:r>
      <w:hyperlink r:id="rId32" w:tooltip="https://login.consultant.ru/link/?req=doc&amp;demo=2&amp;base=LAW&amp;n=394847&amp;date=26.06.2022" w:history="1">
        <w:r>
          <w:t xml:space="preserve">стандарта</w:t>
        </w:r>
      </w:hyperlink>
      <w:r>
        <w:t xml:space="preserve"> в отношении краткосрочной аренды и аренды активов с низкой стоимостью;</w:t>
      </w:r>
      <w:r/>
    </w:p>
    <w:p>
      <w:pPr>
        <w:ind w:firstLine="540"/>
        <w:jc w:val="both"/>
        <w:spacing w:before="240"/>
        <w:widowControl w:val="off"/>
      </w:pPr>
      <w:r>
        <w:t xml:space="preserve">оценки активов в форме права пользования и обязательств по аренде;</w:t>
      </w:r>
      <w:r/>
    </w:p>
    <w:p>
      <w:pPr>
        <w:ind w:firstLine="540"/>
        <w:jc w:val="both"/>
        <w:spacing w:before="240"/>
        <w:widowControl w:val="off"/>
      </w:pPr>
      <w:r>
        <w:t xml:space="preserve">определения ставки дисконтирования, используемой при оценке обязательств по аренде;</w:t>
      </w:r>
      <w:r/>
    </w:p>
    <w:p>
      <w:pPr>
        <w:ind w:firstLine="540"/>
        <w:jc w:val="both"/>
        <w:spacing w:before="240"/>
        <w:widowControl w:val="off"/>
      </w:pPr>
      <w:r>
        <w:t xml:space="preserve">формирования финансового результата по договорам аренды.</w:t>
      </w:r>
      <w:r/>
    </w:p>
    <w:p>
      <w:pPr>
        <w:ind w:firstLine="540"/>
        <w:jc w:val="both"/>
        <w:spacing w:before="240"/>
        <w:widowControl w:val="off"/>
      </w:pPr>
      <w:r>
        <w:t xml:space="preserve">5. Применение Международного </w:t>
      </w:r>
      <w:hyperlink r:id="rId33" w:tooltip="https://login.consultant.ru/link/?req=doc&amp;demo=2&amp;base=LAW&amp;n=380195&amp;date=26.06.2022" w:history="1">
        <w:r>
          <w:t xml:space="preserve">стандарта</w:t>
        </w:r>
      </w:hyperlink>
      <w:r>
        <w:t xml:space="preserve"> финансовой отчетности (IFRS) 9 "Финансовые инструменты" в части, касающейся оценочных резервов под ожидаемые кредитные убытки с учетом требований и рекомендаций Банка России , в том числе:</w:t>
      </w:r>
      <w:r/>
    </w:p>
    <w:p>
      <w:pPr>
        <w:ind w:firstLine="540"/>
        <w:jc w:val="both"/>
        <w:widowControl w:val="off"/>
      </w:pPr>
      <w:r/>
      <w:r/>
    </w:p>
    <w:p>
      <w:pPr>
        <w:ind w:firstLine="540"/>
        <w:jc w:val="both"/>
        <w:widowControl w:val="off"/>
      </w:pPr>
      <w:r>
        <w:t xml:space="preserve">соответствие применяемых кредитными организациями подходов к расчету ожидаемых кредитных убытков </w:t>
      </w:r>
      <w:hyperlink r:id="rId34" w:tooltip="https://login.consultant.ru/link/?req=doc&amp;demo=2&amp;base=LAW&amp;n=380195&amp;date=26.06.2022" w:history="1">
        <w:r>
          <w:t xml:space="preserve">МСФО (IFRS) 9</w:t>
        </w:r>
      </w:hyperlink>
      <w:r>
        <w:t xml:space="preserve">, обратив особое внимание на практическое применение методик и моделей оценки, их соответствие принимаемым рискам;</w:t>
      </w:r>
      <w:r/>
    </w:p>
    <w:p>
      <w:pPr>
        <w:ind w:firstLine="540"/>
        <w:jc w:val="both"/>
        <w:spacing w:before="240"/>
        <w:widowControl w:val="off"/>
      </w:pPr>
      <w:r>
        <w:t xml:space="preserve">сопоставление величины </w:t>
      </w:r>
      <w:r>
        <w:t xml:space="preserve">пруденциальных</w:t>
      </w:r>
      <w:r>
        <w:t xml:space="preserve"> резервов на возможные потери и оценочных резервов по </w:t>
      </w:r>
      <w:hyperlink r:id="rId35" w:tooltip="https://login.consultant.ru/link/?req=doc&amp;demo=2&amp;base=LAW&amp;n=380195&amp;date=26.06.2022" w:history="1">
        <w:r>
          <w:t xml:space="preserve">МСФО (IFRS) 9</w:t>
        </w:r>
      </w:hyperlink>
      <w:r>
        <w:t xml:space="preserve">, анализ существенных расхождений.</w:t>
      </w:r>
      <w:r/>
    </w:p>
    <w:p>
      <w:pPr>
        <w:ind w:firstLine="540"/>
        <w:jc w:val="both"/>
        <w:spacing w:before="240"/>
        <w:widowControl w:val="off"/>
      </w:pPr>
      <w:r>
        <w:t xml:space="preserve">6. Корректность учета нематериальных активов, в том числе правомерность учета и оценка.</w:t>
      </w:r>
      <w:r/>
    </w:p>
    <w:p>
      <w:pPr>
        <w:ind w:firstLine="540"/>
        <w:jc w:val="both"/>
        <w:spacing w:before="240"/>
        <w:widowControl w:val="off"/>
      </w:pPr>
      <w:r>
        <w:t xml:space="preserve">7. Своевременность отнесения произведенных кредитной организацией затрат на расходы.</w:t>
      </w:r>
      <w:r/>
    </w:p>
    <w:p>
      <w:pPr>
        <w:ind w:firstLine="540"/>
        <w:jc w:val="both"/>
        <w:spacing w:before="240"/>
        <w:widowControl w:val="off"/>
      </w:pPr>
      <w:r>
        <w:t xml:space="preserve">8. Признание банками отложенных налоговых активов и обязательств, влияющих на корректность расчета банками расходов по налогу на прибыль и финансового результата в целом.</w:t>
      </w:r>
      <w:r/>
    </w:p>
    <w:p>
      <w:pPr>
        <w:ind w:firstLine="540"/>
        <w:jc w:val="both"/>
        <w:spacing w:before="240"/>
        <w:widowControl w:val="off"/>
      </w:pPr>
      <w:r>
        <w:t xml:space="preserve">9. Раскрытие информации об учете </w:t>
      </w:r>
      <w:r>
        <w:t xml:space="preserve">Environmental</w:t>
      </w:r>
      <w:r>
        <w:t xml:space="preserve">, Social </w:t>
      </w:r>
      <w:r>
        <w:t xml:space="preserve">and</w:t>
      </w:r>
      <w:r>
        <w:t xml:space="preserve"> </w:t>
      </w:r>
      <w:r>
        <w:t xml:space="preserve">Governance</w:t>
      </w:r>
      <w:r>
        <w:t xml:space="preserve"> факторов (ESG-факторов) в деятельности кредитной организации, связанных с ними рисках и возможностях (с учетом характера и масштаба деятельности).</w:t>
      </w:r>
      <w:r/>
    </w:p>
    <w:p>
      <w:pPr>
        <w:ind w:firstLine="540"/>
        <w:jc w:val="both"/>
        <w:widowControl w:val="off"/>
      </w:pPr>
      <w:r>
        <w:t xml:space="preserve">10. Правильность учета комбинированных (гибридных) инструментов (наличие тесной связи с основным договором).</w:t>
      </w:r>
      <w:r/>
    </w:p>
    <w:p>
      <w:pPr>
        <w:ind w:firstLine="540"/>
        <w:jc w:val="both"/>
        <w:spacing w:before="240"/>
        <w:widowControl w:val="off"/>
      </w:pPr>
      <w:r>
        <w:t xml:space="preserve">11. Правильность учета продолжающегося участия в переданных активах.</w:t>
      </w:r>
      <w:r/>
    </w:p>
    <w:p>
      <w:pPr>
        <w:ind w:firstLine="540"/>
        <w:jc w:val="both"/>
        <w:spacing w:before="240"/>
        <w:widowControl w:val="off"/>
      </w:pPr>
      <w:r>
        <w:t xml:space="preserve">12. Обоснованность выбора метода оценки справедливой стоимости активов, особенно производных финансовых инструментов (правильность применения </w:t>
      </w:r>
      <w:hyperlink r:id="rId36" w:tooltip="https://login.consultant.ru/link/?req=doc&amp;demo=2&amp;base=LAW&amp;n=202743&amp;date=26.06.2022" w:history="1">
        <w:r>
          <w:t xml:space="preserve">МСФО (IFRS) 13</w:t>
        </w:r>
      </w:hyperlink>
      <w:r>
        <w:t xml:space="preserve"> "Оценка справедливой стоимости" ).</w:t>
      </w:r>
      <w:r/>
    </w:p>
    <w:p>
      <w:pPr>
        <w:ind w:firstLine="540"/>
        <w:jc w:val="both"/>
        <w:widowControl w:val="off"/>
      </w:pPr>
      <w:r/>
      <w:r/>
    </w:p>
    <w:p>
      <w:pPr>
        <w:ind w:firstLine="540"/>
        <w:jc w:val="both"/>
        <w:widowControl w:val="off"/>
      </w:pPr>
      <w:r>
        <w:t xml:space="preserve">13. Обоснованность оценки отдельных специфических активов (паевых инвестиционных фондов, негосударственных пенсионных фондов, контролирующего участия в страховых, лизинговых компаниях, активов для которых отсутствует активный рынок).</w:t>
      </w:r>
      <w:r/>
    </w:p>
    <w:p>
      <w:pPr>
        <w:ind w:firstLine="540"/>
        <w:jc w:val="both"/>
        <w:spacing w:before="240"/>
        <w:widowControl w:val="off"/>
      </w:pPr>
      <w:r>
        <w:t xml:space="preserve">14. Признание наличия контроля и/или значительного влияния в отношении заемщиков в целях объединения их в группу связанных лиц (в том числе в случаях получения операционного контроля над деятельностью проблемных заемщиков).</w:t>
      </w:r>
      <w:r/>
    </w:p>
    <w:p>
      <w:pPr>
        <w:ind w:firstLine="540"/>
        <w:jc w:val="both"/>
        <w:spacing w:before="240"/>
        <w:widowControl w:val="off"/>
      </w:pPr>
      <w:r>
        <w:t xml:space="preserve">15. Проведение операций со связанными сторонами, ранее не выявленными или не раскрытыми аудитору, а также степень их </w:t>
      </w:r>
      <w:r>
        <w:t xml:space="preserve">влияния на оценку уровня рисков и показателей деятельности кредитной организации (в частности, осуществление операций на нерыночных условиях, проведение операций схемного характера по корректировке финансового результата, значений обязательных нормативов).</w:t>
      </w:r>
      <w:r/>
    </w:p>
    <w:p>
      <w:pPr>
        <w:ind w:firstLine="540"/>
        <w:jc w:val="both"/>
        <w:spacing w:before="240"/>
        <w:widowControl w:val="off"/>
      </w:pPr>
      <w:r>
        <w:t xml:space="preserve">16. Раскрытие в бухгалтерской отчетности кредитных организаций информации об операциях со связанными сторонами.</w:t>
      </w:r>
      <w:r/>
    </w:p>
    <w:p>
      <w:pPr>
        <w:ind w:firstLine="540"/>
        <w:jc w:val="both"/>
        <w:spacing w:before="240"/>
        <w:widowControl w:val="off"/>
      </w:pPr>
      <w:r>
        <w:t xml:space="preserve">17. Соответствие требованиям Банка России порядка у</w:t>
      </w:r>
      <w:r>
        <w:t xml:space="preserve">чета вложений в иные источники капитала, сформированных за счет доходов в виде комиссий за дополнительные услуги и агентских страховых вознаграждений, а также признание комиссионных доходов, в том числе агентских комиссий за продажи небанковских продуктов.</w:t>
      </w:r>
      <w:r/>
    </w:p>
    <w:p>
      <w:pPr>
        <w:ind w:firstLine="540"/>
        <w:jc w:val="both"/>
        <w:spacing w:before="240"/>
        <w:widowControl w:val="off"/>
      </w:pPr>
      <w:r>
        <w:t xml:space="preserve">18. Своевременное внесение организациями изменений в бухгалтерскую отчетность в связи с выявлением существенных ошибок (после ее утверждения).</w:t>
      </w:r>
      <w:r/>
    </w:p>
    <w:p>
      <w:pPr>
        <w:ind w:firstLine="540"/>
        <w:jc w:val="both"/>
        <w:spacing w:before="240"/>
        <w:widowControl w:val="off"/>
      </w:pPr>
      <w:r>
        <w:t xml:space="preserve">19. Оценка влияния риска кибербезопасности на способность аудируемого лица продолжать непрерывно свою деятельность (</w:t>
      </w:r>
      <w:hyperlink r:id="rId37" w:tooltip="https://login.consultant.ru/link/?req=doc&amp;demo=2&amp;base=LAW&amp;n=317495&amp;date=26.06.2022" w:history="1">
        <w:r>
          <w:t xml:space="preserve">МСА 570</w:t>
        </w:r>
      </w:hyperlink>
      <w:r>
        <w:t xml:space="preserve">), учитывая широкое распространение практики удаленного (дистанционного) режима работы, ускорение темпов цифровизации бизнеса.</w:t>
      </w:r>
      <w:r/>
    </w:p>
    <w:p>
      <w:pPr>
        <w:ind w:firstLine="540"/>
        <w:jc w:val="both"/>
        <w:spacing w:before="240"/>
        <w:widowControl w:val="off"/>
      </w:pPr>
      <w:r>
        <w:t xml:space="preserve">20. Соответствие порядка отражения на счетах бухгалтерского учета операций с ценными бумаги нормам, изложенным в </w:t>
      </w:r>
      <w:hyperlink r:id="rId38" w:tooltip="https://login.consultant.ru/link/?req=doc&amp;demo=2&amp;base=LAW&amp;n=316185&amp;date=26.06.2022" w:history="1">
        <w:r>
          <w:t xml:space="preserve">Положении</w:t>
        </w:r>
      </w:hyperlink>
      <w:r>
        <w:t xml:space="preserve"> Банка России от 2 октября 2017 г. "О </w:t>
      </w:r>
      <w:r>
        <w:t xml:space="preserve">порядке отражения на счетах бухгалтерского учета кредитными организациями операций с ценными бумагами", а также корректность включения информации об операциях с ценными бумагами в бухгалтерскую отчетность.</w:t>
      </w:r>
      <w:r/>
    </w:p>
    <w:p>
      <w:pPr>
        <w:ind w:firstLine="540"/>
        <w:jc w:val="both"/>
        <w:spacing w:before="240"/>
        <w:widowControl w:val="off"/>
      </w:pPr>
      <w:r>
        <w:t xml:space="preserve">21. Подтверждение отраженных в бухгалтерской (финансовой) отчетности остатков денежных средств, размещенных на коррес</w:t>
      </w:r>
      <w:r>
        <w:t xml:space="preserve">пондентских счетах в банках-нерезидентах (особенно в случаях отсутствия в течение длительного времени движения по указанным счетам, размещения средств на "нерыночных" условиях, существенности сумм остатков денежных средств, сомнений в реальности операций).</w:t>
      </w:r>
      <w:r/>
    </w:p>
    <w:p>
      <w:pPr>
        <w:ind w:firstLine="540"/>
        <w:jc w:val="both"/>
        <w:spacing w:before="240"/>
        <w:widowControl w:val="off"/>
      </w:pPr>
      <w:r>
        <w:t xml:space="preserve">22. Методика анализа чувствительности по каждому виду рыночного</w:t>
      </w:r>
      <w:r>
        <w:t xml:space="preserve"> риска, которому подвержена кредитная организация на дату окончания отчетного периода, показывающего влияние на прибыль или убыток и собственный капитал, а также полноту представления данной информации в финансовой отчетности в соответствии с требованиями </w:t>
      </w:r>
      <w:hyperlink r:id="rId39" w:tooltip="https://login.consultant.ru/link/?req=doc&amp;demo=2&amp;base=LAW&amp;n=380200&amp;date=26.06.2022" w:history="1">
        <w:r>
          <w:t xml:space="preserve">МСФО (IFRS) 7</w:t>
        </w:r>
      </w:hyperlink>
      <w:r>
        <w:t xml:space="preserve"> "Финансовые инструменты: раскрытие информации".</w:t>
      </w:r>
      <w:r/>
    </w:p>
    <w:p>
      <w:pPr>
        <w:ind w:firstLine="540"/>
        <w:jc w:val="both"/>
        <w:spacing w:before="240"/>
        <w:widowControl w:val="off"/>
      </w:pPr>
      <w:r>
        <w:t xml:space="preserve">23. По</w:t>
      </w:r>
      <w:r>
        <w:t xml:space="preserve">рядок признания финансовых инструментов, подлежащих взаимозачету и подпадающих под действие обеспеченного правовой защитой генерального соглашения о взаимозачете, а также полноту раскрытия информации о взаимозачете финансовых инструментов в соответствии с </w:t>
      </w:r>
      <w:hyperlink r:id="rId40" w:tooltip="https://login.consultant.ru/link/?req=doc&amp;demo=2&amp;base=LAW&amp;n=380200&amp;date=26.06.2022&amp;dst=100067&amp;field=134" w:history="1">
        <w:r>
          <w:t xml:space="preserve">пунктами 13А</w:t>
        </w:r>
      </w:hyperlink>
      <w:r>
        <w:t xml:space="preserve">-</w:t>
      </w:r>
      <w:hyperlink r:id="rId41" w:tooltip="https://login.consultant.ru/link/?req=doc&amp;demo=2&amp;base=LAW&amp;n=380200&amp;date=26.06.2022&amp;dst=100080&amp;field=134" w:history="1">
        <w:r>
          <w:t xml:space="preserve">13F</w:t>
        </w:r>
      </w:hyperlink>
      <w:r>
        <w:t xml:space="preserve"> МСФО (IFRS) 7.</w:t>
      </w:r>
      <w:r/>
    </w:p>
    <w:p>
      <w:pPr>
        <w:ind w:firstLine="540"/>
        <w:jc w:val="both"/>
        <w:spacing w:before="240"/>
        <w:widowControl w:val="off"/>
      </w:pPr>
      <w:r>
        <w:t xml:space="preserve">24. Доведение до сведения лиц, отвечающих за корпоративное управление, управление в кредитной организации, значимых вопросов, возникающих в ходе аудита.</w:t>
      </w:r>
      <w:r/>
    </w:p>
    <w:p>
      <w:pPr>
        <w:ind w:firstLine="540"/>
        <w:jc w:val="both"/>
        <w:widowControl w:val="off"/>
      </w:pPr>
      <w:r/>
      <w:r/>
    </w:p>
    <w:p>
      <w:pPr>
        <w:ind w:firstLine="540"/>
        <w:jc w:val="both"/>
        <w:widowControl w:val="off"/>
      </w:pPr>
      <w:r>
        <w:t xml:space="preserve">25. Корректность расчета небанковскими кредитными организациями - центральными контрагентами обязательных нормативов, определяемых в соответствии с </w:t>
      </w:r>
      <w:hyperlink r:id="rId42" w:tooltip="https://login.consultant.ru/link/?req=doc&amp;demo=2&amp;base=LAW&amp;n=349726&amp;date=26.06.2022" w:history="1">
        <w:r>
          <w:t xml:space="preserve">Инструкцией</w:t>
        </w:r>
      </w:hyperlink>
      <w:r>
        <w:t xml:space="preserve"> Банка России от 14 ноября 2016 </w:t>
      </w:r>
      <w:r>
        <w:t xml:space="preserve">г. N 175-И "О банковских операциях небанковских кредитных организаций - центральных контрагентов, об обязательных нормативах небанковских кредитных организаций - центральных контрагентов и особенностях осуществления Банка России надзора за их соблюдением".</w:t>
      </w:r>
      <w:r/>
    </w:p>
    <w:p>
      <w:pPr>
        <w:ind w:firstLine="540"/>
        <w:jc w:val="both"/>
        <w:widowControl w:val="off"/>
      </w:pPr>
      <w:r/>
      <w:r/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</w:pPr>
      <w:r>
        <w:rPr>
          <w:rFonts w:eastAsia="Calibri"/>
          <w:lang w:eastAsia="en-US"/>
        </w:rPr>
        <w:t xml:space="preserve">Глубокое понимание отрасле</w:t>
      </w:r>
      <w:r>
        <w:rPr>
          <w:rFonts w:eastAsia="Calibri"/>
          <w:lang w:eastAsia="en-US"/>
        </w:rPr>
        <w:t xml:space="preserve">вых стандартов бухгалтерского учета, бухгалтерской (финансовой) отчетности кредитных финансовых организаций,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/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rFonts w:eastAsiaTheme="minorHAnsi"/>
          <w:b/>
          <w:lang w:eastAsia="en-US"/>
        </w:rPr>
        <w:t xml:space="preserve">6-4-07 «СОСТАВ И СОДЕРЖАНИЕ ФИНАНСОВОЙ ОТЧЕТНОСТИ ПО МСФО КРЕДИТНЫХ ОРГАНИЗАЦИЙ: ПРЕДСТАВЛЕНИЕ ИНФОРМАЦИИ И ЕЕ ДОПОЛНИТЕЛЬНОЕ РАСКРЫТИЕ»</w:t>
      </w:r>
      <w:r>
        <w:rPr>
          <w:rFonts w:eastAsiaTheme="minorHAnsi"/>
          <w:b/>
          <w:lang w:eastAsia="en-US"/>
        </w:rPr>
      </w:r>
    </w:p>
    <w:p>
      <w:pPr>
        <w:jc w:val="both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jc w:val="both"/>
      </w:pPr>
      <w:r>
        <w:rPr>
          <w:b/>
        </w:rPr>
        <w:t xml:space="preserve">Продолжительность обучения</w:t>
      </w:r>
      <w:r>
        <w:t xml:space="preserve"> – 8 академических часов.</w:t>
      </w:r>
      <w:r/>
    </w:p>
    <w:p>
      <w:pPr>
        <w:jc w:val="both"/>
      </w:pPr>
      <w:r/>
      <w:r/>
    </w:p>
    <w:p>
      <w:pPr>
        <w:jc w:val="both"/>
      </w:pPr>
      <w:r>
        <w:rPr>
          <w:b/>
        </w:rPr>
        <w:t xml:space="preserve">Цель программы</w:t>
      </w:r>
      <w:r>
        <w:t xml:space="preserve"> – углубление знаний аудиторов и руководителей аудита общественно значимых организаций, желающих специализироваться на аудите кредитных организаций, в отношении применения требований МСФО при подготовке финансовой отчетности кредитных организаций. 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1. Особенн</w:t>
      </w:r>
      <w:r>
        <w:rPr>
          <w:b/>
        </w:rPr>
        <w:t xml:space="preserve">ости структуры и содержания отчетов, входящих в состав финансовой отчетности по МСФО кредитных организаций. Практика применения МСФО (IAS) 1 «Представление финансовой отчетности» и МСФО (IAS) 7 «Отчет о движении денежных средств» для финансовых организаций</w:t>
      </w:r>
      <w:r>
        <w:rPr>
          <w:b/>
        </w:rPr>
      </w:r>
    </w:p>
    <w:p>
      <w:pPr>
        <w:numPr>
          <w:ilvl w:val="0"/>
          <w:numId w:val="69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Особенности структуры и порядка представления статей в отчете о финансовом положении кредитных организаций.</w:t>
      </w:r>
      <w:r>
        <w:rPr>
          <w:rFonts w:eastAsia="Tahoma"/>
        </w:rPr>
      </w:r>
    </w:p>
    <w:p>
      <w:pPr>
        <w:numPr>
          <w:ilvl w:val="0"/>
          <w:numId w:val="69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Особенности структуры и порядка представления статей в отчете о совокупном доходе кредитных организаций.</w:t>
      </w:r>
      <w:r>
        <w:rPr>
          <w:rFonts w:eastAsia="Tahoma"/>
        </w:rPr>
      </w:r>
    </w:p>
    <w:p>
      <w:pPr>
        <w:numPr>
          <w:ilvl w:val="0"/>
          <w:numId w:val="69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Особенности структуры и порядка представления статей в отчете о движении денежных средств кредитных организаций. Практика применения методов составления ОДДС для финансовых организаций.</w:t>
      </w:r>
      <w:r>
        <w:rPr>
          <w:rFonts w:eastAsia="Tahoma"/>
        </w:rPr>
      </w:r>
    </w:p>
    <w:p>
      <w:pPr>
        <w:numPr>
          <w:ilvl w:val="0"/>
          <w:numId w:val="69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Обсуждение практических вопросов представления информации в отчетах, входящих в состав финансовой отчетности по МСФО кредитных организаций.</w:t>
      </w:r>
      <w:r>
        <w:rPr>
          <w:rFonts w:eastAsia="Tahoma"/>
        </w:rPr>
      </w:r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2. Особенности раскрытия информации в примечаниях к финансовой отчетности по МСФО кредитных организаций 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70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Раскрытие информации в финансовой отчетности по МСФО кредитных организаций об основных положениях учетной политики кредитной организации, в т.ч. в отношении:</w:t>
      </w:r>
      <w:r>
        <w:rPr>
          <w:rFonts w:eastAsia="Tahoma"/>
        </w:rPr>
      </w:r>
    </w:p>
    <w:p>
      <w:pPr>
        <w:numPr>
          <w:ilvl w:val="0"/>
          <w:numId w:val="43"/>
        </w:numPr>
        <w:jc w:val="both"/>
      </w:pPr>
      <w:r>
        <w:t xml:space="preserve">признания и прекращения признания, классификации и оценки финансовых инструментов в соответствии с МСФО (IFRS) 9;</w:t>
      </w:r>
      <w:r/>
    </w:p>
    <w:p>
      <w:pPr>
        <w:numPr>
          <w:ilvl w:val="0"/>
          <w:numId w:val="43"/>
        </w:numPr>
        <w:jc w:val="both"/>
      </w:pPr>
      <w:r>
        <w:t xml:space="preserve">модели оценки резервов под ожидаемые кредитные убытки по финансовым инструментам в соответствии с МСФО (IFRS) 9, подходов к ее валидации и обновлению;</w:t>
      </w:r>
      <w:r/>
    </w:p>
    <w:p>
      <w:pPr>
        <w:numPr>
          <w:ilvl w:val="0"/>
          <w:numId w:val="43"/>
        </w:numPr>
        <w:jc w:val="both"/>
      </w:pPr>
      <w:r>
        <w:t xml:space="preserve">признания процентных доходов по эффективной процентной ставке и прочих процентных доходов;</w:t>
      </w:r>
      <w:r/>
    </w:p>
    <w:p>
      <w:pPr>
        <w:numPr>
          <w:ilvl w:val="0"/>
          <w:numId w:val="43"/>
        </w:numPr>
        <w:jc w:val="both"/>
      </w:pPr>
      <w:r>
        <w:t xml:space="preserve">подходов к признанию и учету модификации финансовых инструментов в соответствии с МСФО (IFRS) 9;</w:t>
      </w:r>
      <w:r/>
    </w:p>
    <w:p>
      <w:pPr>
        <w:numPr>
          <w:ilvl w:val="0"/>
          <w:numId w:val="43"/>
        </w:numPr>
        <w:jc w:val="both"/>
      </w:pPr>
      <w:r>
        <w:t xml:space="preserve">критериев признания в качестве эквивалентов денежных средств;</w:t>
      </w:r>
      <w:r/>
    </w:p>
    <w:p>
      <w:pPr>
        <w:numPr>
          <w:ilvl w:val="0"/>
          <w:numId w:val="43"/>
        </w:numPr>
        <w:jc w:val="both"/>
      </w:pPr>
      <w:r>
        <w:t xml:space="preserve">порядка учета выданных финансовых и нефинансовых гарантий;</w:t>
      </w:r>
      <w:r/>
    </w:p>
    <w:p>
      <w:pPr>
        <w:numPr>
          <w:ilvl w:val="0"/>
          <w:numId w:val="43"/>
        </w:numPr>
        <w:jc w:val="both"/>
      </w:pPr>
      <w:r>
        <w:t xml:space="preserve">и других значимых учетных положений для банковской деятельности.</w:t>
      </w:r>
      <w:r/>
    </w:p>
    <w:p>
      <w:pPr>
        <w:numPr>
          <w:ilvl w:val="0"/>
          <w:numId w:val="70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Раскрытие информации в финансовой отчетности по МСФО кредитных организаций о важных оценочных суждениях при применении учетной политики кредитной организации, в т.ч. в отношении:</w:t>
      </w:r>
      <w:r>
        <w:rPr>
          <w:rFonts w:eastAsia="Tahoma"/>
        </w:rPr>
      </w:r>
    </w:p>
    <w:p>
      <w:pPr>
        <w:numPr>
          <w:ilvl w:val="0"/>
          <w:numId w:val="43"/>
        </w:numPr>
        <w:jc w:val="both"/>
      </w:pPr>
      <w:r>
        <w:t xml:space="preserve">оценки резервов под ожидаемые кредитные убытки по финансовым инструментам в соответствии с МСФО (IFRS) 9;</w:t>
      </w:r>
      <w:r/>
    </w:p>
    <w:p>
      <w:pPr>
        <w:numPr>
          <w:ilvl w:val="0"/>
          <w:numId w:val="43"/>
        </w:numPr>
        <w:jc w:val="both"/>
      </w:pPr>
      <w:r>
        <w:t xml:space="preserve">определения справедливой стоимости финансовых инструментов, отнесенных к уровням 2 и 3 иерархии справедливой стоимости по МСФО (IFRS) 13; </w:t>
      </w:r>
      <w:r/>
    </w:p>
    <w:p>
      <w:pPr>
        <w:numPr>
          <w:ilvl w:val="0"/>
          <w:numId w:val="43"/>
        </w:numPr>
        <w:jc w:val="both"/>
      </w:pPr>
      <w:r>
        <w:t xml:space="preserve">и других значимых оценочных суждений для банковской деятельности.</w:t>
      </w:r>
      <w:r/>
    </w:p>
    <w:p>
      <w:pPr>
        <w:numPr>
          <w:ilvl w:val="0"/>
          <w:numId w:val="70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Раскрытие информации в примечаниях к финансовой отчетности по МСФО кредитных организаций по статьям отчета о финансовом положении и по операциям, характерным для деятельности кредитных организаций:</w:t>
      </w:r>
      <w:r>
        <w:rPr>
          <w:rFonts w:eastAsia="Tahoma"/>
        </w:rPr>
      </w:r>
    </w:p>
    <w:p>
      <w:pPr>
        <w:numPr>
          <w:ilvl w:val="0"/>
          <w:numId w:val="43"/>
        </w:numPr>
        <w:jc w:val="both"/>
      </w:pPr>
      <w:r>
        <w:t xml:space="preserve">межбанковские кредиты и депозиты;</w:t>
      </w:r>
      <w:r/>
    </w:p>
    <w:p>
      <w:pPr>
        <w:numPr>
          <w:ilvl w:val="0"/>
          <w:numId w:val="43"/>
        </w:numPr>
        <w:jc w:val="both"/>
      </w:pPr>
      <w:r>
        <w:t xml:space="preserve">сделки РЕПО;</w:t>
      </w:r>
      <w:r/>
    </w:p>
    <w:p>
      <w:pPr>
        <w:numPr>
          <w:ilvl w:val="0"/>
          <w:numId w:val="43"/>
        </w:numPr>
        <w:jc w:val="both"/>
      </w:pPr>
      <w:r>
        <w:t xml:space="preserve">привлеченные и размещенные субординированные кредиты и депозиты;</w:t>
      </w:r>
      <w:r/>
    </w:p>
    <w:p>
      <w:pPr>
        <w:numPr>
          <w:ilvl w:val="0"/>
          <w:numId w:val="43"/>
        </w:numPr>
        <w:jc w:val="both"/>
      </w:pPr>
      <w:r>
        <w:t xml:space="preserve">вложения в ценные бумаги;</w:t>
      </w:r>
      <w:r/>
    </w:p>
    <w:p>
      <w:pPr>
        <w:numPr>
          <w:ilvl w:val="0"/>
          <w:numId w:val="43"/>
        </w:numPr>
        <w:jc w:val="both"/>
      </w:pPr>
      <w:r>
        <w:t xml:space="preserve">выданные кредиты клиентам;</w:t>
      </w:r>
      <w:r/>
    </w:p>
    <w:p>
      <w:pPr>
        <w:numPr>
          <w:ilvl w:val="0"/>
          <w:numId w:val="43"/>
        </w:numPr>
        <w:jc w:val="both"/>
      </w:pPr>
      <w:r>
        <w:t xml:space="preserve">привлеченные средства клиентов;</w:t>
      </w:r>
      <w:r/>
    </w:p>
    <w:p>
      <w:pPr>
        <w:numPr>
          <w:ilvl w:val="0"/>
          <w:numId w:val="43"/>
        </w:numPr>
        <w:jc w:val="both"/>
      </w:pPr>
      <w:r>
        <w:t xml:space="preserve">выпущенные ценные бумаги;</w:t>
      </w:r>
      <w:r/>
    </w:p>
    <w:p>
      <w:pPr>
        <w:numPr>
          <w:ilvl w:val="0"/>
          <w:numId w:val="43"/>
        </w:numPr>
        <w:jc w:val="both"/>
      </w:pPr>
      <w:r>
        <w:t xml:space="preserve">кредитные линии и овердрафты;</w:t>
      </w:r>
      <w:r/>
    </w:p>
    <w:p>
      <w:pPr>
        <w:numPr>
          <w:ilvl w:val="0"/>
          <w:numId w:val="43"/>
        </w:numPr>
        <w:jc w:val="both"/>
      </w:pPr>
      <w:r>
        <w:t xml:space="preserve">выданные банковские гарантии;</w:t>
      </w:r>
      <w:r/>
    </w:p>
    <w:p>
      <w:pPr>
        <w:numPr>
          <w:ilvl w:val="0"/>
          <w:numId w:val="43"/>
        </w:numPr>
        <w:jc w:val="both"/>
      </w:pPr>
      <w:r>
        <w:t xml:space="preserve">иные значимые операции для банковской деятельности.</w:t>
      </w:r>
      <w:r/>
    </w:p>
    <w:p>
      <w:pPr>
        <w:numPr>
          <w:ilvl w:val="0"/>
          <w:numId w:val="70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Раскрытие информации в примечаниях к финансовой отчетности по МСФО кредитных организаций по статьям отчета о совокупном доходе, характерным для деятельности кредитных организаций:</w:t>
      </w:r>
      <w:r>
        <w:rPr>
          <w:rFonts w:eastAsia="Tahoma"/>
        </w:rPr>
      </w:r>
    </w:p>
    <w:p>
      <w:pPr>
        <w:numPr>
          <w:ilvl w:val="0"/>
          <w:numId w:val="43"/>
        </w:numPr>
        <w:jc w:val="both"/>
      </w:pPr>
      <w:r>
        <w:t xml:space="preserve">процентные доходы и расходы;</w:t>
      </w:r>
      <w:r/>
    </w:p>
    <w:p>
      <w:pPr>
        <w:numPr>
          <w:ilvl w:val="0"/>
          <w:numId w:val="43"/>
        </w:numPr>
        <w:jc w:val="both"/>
      </w:pPr>
      <w:r>
        <w:t xml:space="preserve">комиссионные доходы и расходы;</w:t>
      </w:r>
      <w:r/>
    </w:p>
    <w:p>
      <w:pPr>
        <w:numPr>
          <w:ilvl w:val="0"/>
          <w:numId w:val="43"/>
        </w:numPr>
        <w:jc w:val="both"/>
      </w:pPr>
      <w:r>
        <w:t xml:space="preserve">изменение оценочного резерва под ожидаемые кредитные убытки;</w:t>
      </w:r>
      <w:r/>
    </w:p>
    <w:p>
      <w:pPr>
        <w:numPr>
          <w:ilvl w:val="0"/>
          <w:numId w:val="43"/>
        </w:numPr>
        <w:jc w:val="both"/>
      </w:pPr>
      <w:r>
        <w:t xml:space="preserve">прочие значимые доходы/ расходы от банковской и иной деятельности.</w:t>
      </w:r>
      <w:r/>
    </w:p>
    <w:p>
      <w:pPr>
        <w:numPr>
          <w:ilvl w:val="0"/>
          <w:numId w:val="70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Раскрытие информации в примечаниях к финансовой отчетности по МСФО кредитных организаций об оценке справедливой стоимос</w:t>
      </w:r>
      <w:r>
        <w:rPr>
          <w:rFonts w:eastAsia="Tahoma"/>
        </w:rPr>
        <w:t xml:space="preserve">ти финансовых инструментов по МСФО (IFRS) 13, включая раскрытие информации количественного и качественного характера в отношении финансовых инструментов, как учитываемых по справедливой стоимости, так и справедливая стоимость которых раскрывается отдельно.</w:t>
      </w:r>
      <w:r>
        <w:rPr>
          <w:rFonts w:eastAsia="Tahoma"/>
        </w:rPr>
      </w:r>
    </w:p>
    <w:p>
      <w:pPr>
        <w:numPr>
          <w:ilvl w:val="0"/>
          <w:numId w:val="70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Обсуждение практических вопросов раскрытия информации в примечаниях к финансовой отчетности по МСФО кредитных организаций.</w:t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3. Подходы к раскрытию информации количественного и качественного характера в отношении управления рисками и капиталом кредитных организаций в финансовой отчетности по МСФО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7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Общие требования к раскрытию информации о рисках деятельности кредитных организаций, установленные МСФО (IFRS) 7. </w:t>
      </w:r>
      <w:r>
        <w:rPr>
          <w:rFonts w:eastAsia="Tahoma"/>
        </w:rPr>
      </w:r>
    </w:p>
    <w:p>
      <w:pPr>
        <w:numPr>
          <w:ilvl w:val="0"/>
          <w:numId w:val="7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Классификация рисков. Значимые и прочие риски. Финансовые и нефинансовые риски.</w:t>
      </w:r>
      <w:r>
        <w:rPr>
          <w:rFonts w:eastAsia="Tahoma"/>
        </w:rPr>
      </w:r>
    </w:p>
    <w:p>
      <w:pPr>
        <w:numPr>
          <w:ilvl w:val="0"/>
          <w:numId w:val="7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Содержание и состав количественной и качественной информации о рисках деятельности, минимально необходимой для удовлетворения всех требований МСФО (IFRS) 7 с учетом специфики бизнеса кредитных организаций.</w:t>
      </w:r>
      <w:r>
        <w:rPr>
          <w:rFonts w:eastAsia="Tahoma"/>
        </w:rPr>
      </w:r>
    </w:p>
    <w:p>
      <w:pPr>
        <w:numPr>
          <w:ilvl w:val="0"/>
          <w:numId w:val="7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Обсуждение наилучшей практики раскрытия информации о рисках деятельности кредитных организаций в разрезе основных рисков:</w:t>
      </w:r>
      <w:r>
        <w:rPr>
          <w:rFonts w:eastAsia="Tahoma"/>
        </w:rPr>
      </w:r>
    </w:p>
    <w:p>
      <w:pPr>
        <w:numPr>
          <w:ilvl w:val="0"/>
          <w:numId w:val="43"/>
        </w:numPr>
        <w:jc w:val="both"/>
      </w:pPr>
      <w:r>
        <w:t xml:space="preserve">кредитный риск;</w:t>
      </w:r>
      <w:r/>
    </w:p>
    <w:p>
      <w:pPr>
        <w:numPr>
          <w:ilvl w:val="0"/>
          <w:numId w:val="43"/>
        </w:numPr>
        <w:jc w:val="both"/>
      </w:pPr>
      <w:r>
        <w:t xml:space="preserve">рыночный риск (в т.ч. процентный, валютный, фондовый, товарный);</w:t>
      </w:r>
      <w:r/>
    </w:p>
    <w:p>
      <w:pPr>
        <w:numPr>
          <w:ilvl w:val="0"/>
          <w:numId w:val="43"/>
        </w:numPr>
        <w:jc w:val="both"/>
      </w:pPr>
      <w:r>
        <w:t xml:space="preserve">риск ликвидности;</w:t>
      </w:r>
      <w:r/>
    </w:p>
    <w:p>
      <w:pPr>
        <w:numPr>
          <w:ilvl w:val="0"/>
          <w:numId w:val="43"/>
        </w:numPr>
        <w:jc w:val="both"/>
      </w:pPr>
      <w:r>
        <w:t xml:space="preserve">операционный риск;</w:t>
      </w:r>
      <w:r/>
    </w:p>
    <w:p>
      <w:pPr>
        <w:numPr>
          <w:ilvl w:val="0"/>
          <w:numId w:val="43"/>
        </w:numPr>
        <w:jc w:val="both"/>
      </w:pPr>
      <w:r>
        <w:t xml:space="preserve">прочие риски.</w:t>
      </w:r>
      <w:r/>
    </w:p>
    <w:p>
      <w:pPr>
        <w:numPr>
          <w:ilvl w:val="0"/>
          <w:numId w:val="7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Обсуждение наилучшей практики раскрытия информации о подходах к управлению капиталом и рисками в отношении соблюдения требований Банка России к величине собственных средств (капитала) и обязательных нормативов кредитными организациями.</w:t>
      </w:r>
      <w:r>
        <w:rPr>
          <w:rFonts w:eastAsia="Tahoma"/>
        </w:rPr>
      </w:r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понимание отрасле</w:t>
      </w:r>
      <w:r>
        <w:t xml:space="preserve">вых стандартов бухгалтерского учета, бухгалтерской (финансовой) отчетности кредитных финансовых организаций,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b/>
          <w:bCs/>
        </w:rPr>
        <w:t xml:space="preserve">6-4-08 </w:t>
      </w:r>
      <w:r>
        <w:rPr>
          <w:rFonts w:eastAsiaTheme="minorHAnsi"/>
          <w:b/>
          <w:lang w:eastAsia="en-US"/>
        </w:rPr>
        <w:t xml:space="preserve">«НОВЫЕ МСФО. АКТУАЛЬНЫЕ ВОПРОСЫ ПРИМЕНЕНИЯ ПРИ АУДИТЕ КРЕДИТНЫХ ОРГАНИЗАЦИЙ» </w:t>
      </w:r>
      <w:r>
        <w:rPr>
          <w:rFonts w:eastAsiaTheme="minorHAnsi"/>
          <w:b/>
          <w:lang w:eastAsia="en-US"/>
        </w:rPr>
      </w:r>
    </w:p>
    <w:p>
      <w:pPr>
        <w:jc w:val="both"/>
      </w:pPr>
      <w:r/>
      <w:r/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8 академических часов.</w:t>
      </w:r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  <w:t xml:space="preserve">Цель программы</w:t>
      </w:r>
      <w:r>
        <w:t xml:space="preserve"> – углубление знаний аудиторов и руко</w:t>
      </w:r>
      <w:r>
        <w:t xml:space="preserve">водителей аудита общественно значимых организаций, желающих специализироваться на аудите кредитных организаций, в части отдельных международных стандартов финансовой отчетности, применимых для кредитных организаций, проведения аудита кредитных организаций.</w:t>
      </w:r>
      <w:r>
        <w:rPr>
          <w:b/>
          <w:bCs/>
        </w:rPr>
      </w:r>
    </w:p>
    <w:p>
      <w:pPr>
        <w:ind w:right="-1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"/>
        <w:jc w:val="both"/>
        <w:rPr>
          <w:b/>
        </w:rPr>
      </w:pPr>
      <w:r>
        <w:rPr>
          <w:b/>
        </w:rPr>
        <w:t xml:space="preserve">Тема 1. Применение новых редакций международных стандартов финансовой отчетности в кредитных организациях</w:t>
      </w:r>
      <w:r>
        <w:rPr>
          <w:b/>
        </w:rPr>
      </w:r>
    </w:p>
    <w:p>
      <w:pPr>
        <w:ind w:right="-1"/>
        <w:jc w:val="both"/>
      </w:pPr>
      <w:r/>
      <w:r/>
    </w:p>
    <w:p>
      <w:pPr>
        <w:numPr>
          <w:ilvl w:val="0"/>
          <w:numId w:val="78"/>
        </w:numPr>
        <w:contextualSpacing/>
        <w:jc w:val="both"/>
      </w:pPr>
      <w:r>
        <w:t xml:space="preserve">Международный стандарт финансовой отчетности (IFRS) 9 «Финансовые инструменты»</w:t>
      </w:r>
      <w:r/>
    </w:p>
    <w:p>
      <w:pPr>
        <w:numPr>
          <w:ilvl w:val="0"/>
          <w:numId w:val="78"/>
        </w:numPr>
        <w:contextualSpacing/>
        <w:jc w:val="both"/>
      </w:pPr>
      <w:r>
        <w:t xml:space="preserve">Международный стандарт финансовой отчетности (IAS) 34 «Промежуточная отчетность» </w:t>
      </w:r>
      <w:r/>
    </w:p>
    <w:p>
      <w:pPr>
        <w:numPr>
          <w:ilvl w:val="0"/>
          <w:numId w:val="78"/>
        </w:numPr>
        <w:contextualSpacing/>
        <w:jc w:val="both"/>
      </w:pPr>
      <w:r>
        <w:t xml:space="preserve">Прочие международные стандарты финансовой отчетности</w:t>
      </w:r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  <w:t xml:space="preserve">Тема 2. Вопросы применения при аудите кредитных организаций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numPr>
          <w:ilvl w:val="0"/>
          <w:numId w:val="79"/>
        </w:numPr>
        <w:contextualSpacing/>
        <w:jc w:val="both"/>
      </w:pPr>
      <w:r>
        <w:t xml:space="preserve">Международные стандарты финансовой отчетности, применимые для кредитных организаций </w:t>
      </w:r>
      <w:r/>
    </w:p>
    <w:p>
      <w:pPr>
        <w:numPr>
          <w:ilvl w:val="0"/>
          <w:numId w:val="79"/>
        </w:numPr>
        <w:contextualSpacing/>
        <w:jc w:val="both"/>
      </w:pPr>
      <w:r>
        <w:t xml:space="preserve">Консолидированная финансовая отчетность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понимание отрасле</w:t>
      </w:r>
      <w:r>
        <w:t xml:space="preserve">вых стандартов бухгалтерского учета, бухгалтерской (финансовой) отчетности кредитных финансовых организаций,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6-4-09 «МСФО (IFRS) 9: ФИНАНСОВЫЕ ИНСТРУМЕНТЫ»</w:t>
      </w:r>
      <w:r>
        <w:rPr>
          <w:b/>
          <w:bCs/>
        </w:rPr>
      </w:r>
    </w:p>
    <w:p>
      <w:pPr>
        <w:jc w:val="both"/>
        <w:rPr>
          <w:rFonts w:eastAsia="Tahoma"/>
          <w:b/>
          <w:bCs/>
        </w:rPr>
      </w:pPr>
      <w:r>
        <w:rPr>
          <w:rFonts w:eastAsia="Tahoma"/>
          <w:b/>
          <w:bCs/>
        </w:rPr>
      </w:r>
      <w:r>
        <w:rPr>
          <w:rFonts w:eastAsia="Tahoma"/>
          <w:b/>
          <w:bCs/>
        </w:rPr>
      </w:r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8 академических часов.</w:t>
      </w:r>
      <w:r/>
    </w:p>
    <w:p>
      <w:pPr>
        <w:jc w:val="both"/>
      </w:pPr>
      <w:r/>
      <w:r/>
    </w:p>
    <w:p>
      <w:pPr>
        <w:jc w:val="both"/>
      </w:pPr>
      <w:r>
        <w:rPr>
          <w:b/>
        </w:rPr>
        <w:t xml:space="preserve">Цель программы </w:t>
      </w:r>
      <w:r>
        <w:t xml:space="preserve">- углубление знаний аудиторов и руководителей аудита общественно значимых организаций, желающих специализироваться на аудите кредитных и </w:t>
      </w:r>
      <w:r>
        <w:t xml:space="preserve">некредитных</w:t>
      </w:r>
      <w:r>
        <w:t xml:space="preserve"> организаций, в части особенностей деятельности кредитных и </w:t>
      </w:r>
      <w:r>
        <w:t xml:space="preserve">некредитных</w:t>
      </w:r>
      <w:r>
        <w:t xml:space="preserve"> организаций, организации бухгалтерского учета, проведения аудита кредитных и </w:t>
      </w:r>
      <w:r>
        <w:t xml:space="preserve">некредитных</w:t>
      </w:r>
      <w:r>
        <w:t xml:space="preserve"> организаций, требований МСФО (IFRS) 9 «Финансовые инструменты».</w:t>
      </w:r>
      <w:r/>
    </w:p>
    <w:p>
      <w:pPr>
        <w:jc w:val="both"/>
      </w:pPr>
      <w:r/>
      <w:r/>
    </w:p>
    <w:p>
      <w:pPr>
        <w:numPr>
          <w:ilvl w:val="0"/>
          <w:numId w:val="8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классификация ценных бумаг для целей учета: распределение по оценочным категориям</w:t>
      </w:r>
      <w:r>
        <w:t xml:space="preserve"> в </w:t>
      </w:r>
      <w:r>
        <w:rPr>
          <w:rFonts w:eastAsia="Tahoma"/>
        </w:rPr>
        <w:t xml:space="preserve">результате выбранной бизнес-модели, изменение применяемой бизнес-модели в отношении ценных бумаг </w:t>
      </w:r>
      <w:r>
        <w:t xml:space="preserve">(Положение Банка России </w:t>
      </w:r>
      <w:r>
        <w:rPr>
          <w:rFonts w:eastAsia="Tahoma"/>
        </w:rPr>
        <w:t xml:space="preserve">№ 606</w:t>
      </w:r>
      <w:r>
        <w:t xml:space="preserve">-П</w:t>
      </w:r>
      <w:r>
        <w:rPr>
          <w:rFonts w:eastAsia="Tahoma"/>
        </w:rPr>
        <w:t xml:space="preserve">);</w:t>
      </w:r>
      <w:r>
        <w:rPr>
          <w:rFonts w:eastAsia="Tahoma"/>
        </w:rPr>
      </w:r>
    </w:p>
    <w:p>
      <w:pPr>
        <w:numPr>
          <w:ilvl w:val="0"/>
          <w:numId w:val="8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первоначальное признание ценных бумаг по справедливой стоимости: отражение финансового результата, учет отсроченной разницы; </w:t>
      </w:r>
      <w:r>
        <w:rPr>
          <w:rFonts w:eastAsia="Tahoma"/>
        </w:rPr>
      </w:r>
    </w:p>
    <w:p>
      <w:pPr>
        <w:numPr>
          <w:ilvl w:val="0"/>
          <w:numId w:val="82"/>
        </w:numPr>
        <w:jc w:val="both"/>
      </w:pPr>
      <w:r>
        <w:t xml:space="preserve">оценка справедливой стоимости в соответствии с МСФО (IFRS) 13: наблюдаемые и ненаблюдаемые данные, источники информации, классификация уровня справедливой стоимости.</w:t>
      </w:r>
      <w:r/>
    </w:p>
    <w:p>
      <w:pPr>
        <w:numPr>
          <w:ilvl w:val="0"/>
          <w:numId w:val="8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ценных бумаг по амортизированной стоимости: применение метода эффективной процентной ставки, начисление процентных доходов, корректировка до амортизированной стоимости;</w:t>
      </w:r>
      <w:r>
        <w:rPr>
          <w:rFonts w:eastAsia="Tahoma"/>
        </w:rPr>
      </w:r>
    </w:p>
    <w:p>
      <w:pPr>
        <w:numPr>
          <w:ilvl w:val="0"/>
          <w:numId w:val="8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методы расчета амортизированной стоимости в соответствии с МСФО (IFRS) 9. Рыночные и нерыночные процентные ставки. Источники получения информации.</w:t>
      </w:r>
      <w:r>
        <w:rPr>
          <w:rFonts w:eastAsia="Tahoma"/>
        </w:rPr>
      </w:r>
    </w:p>
    <w:p>
      <w:pPr>
        <w:numPr>
          <w:ilvl w:val="0"/>
          <w:numId w:val="8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ценных бумаг по справедливой стоимости через прочий совокупный доход и через прибыль или убыток. Переоценка по справедливой стоимости;</w:t>
      </w:r>
      <w:r>
        <w:rPr>
          <w:rFonts w:eastAsia="Tahoma"/>
        </w:rPr>
      </w:r>
    </w:p>
    <w:p>
      <w:pPr>
        <w:numPr>
          <w:ilvl w:val="0"/>
          <w:numId w:val="8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оценочный резерв под обесценение. Признаки обесценения. Определение актива как кредитно-обесцененного при первоначальном признании. Ожидаемые кредитные убытки и методы их оценки. Кред</w:t>
      </w:r>
      <w:r>
        <w:rPr>
          <w:rFonts w:eastAsia="Tahoma"/>
        </w:rPr>
        <w:t xml:space="preserve">итные риски и признаки их значительного увеличения. Определение дефолта и его признаки. Изменение методов оценки ожидаемых кредитных убытков при значительном увеличении кредитного риска, риска дефолта. Оценка риска на групповой основе (портфельный подход).</w:t>
      </w:r>
      <w:r>
        <w:rPr>
          <w:rFonts w:eastAsia="Tahoma"/>
        </w:rPr>
      </w:r>
    </w:p>
    <w:p>
      <w:pPr>
        <w:numPr>
          <w:ilvl w:val="0"/>
          <w:numId w:val="8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</w:t>
      </w:r>
      <w:r>
        <w:t xml:space="preserve">сделок </w:t>
      </w:r>
      <w:r>
        <w:rPr>
          <w:rFonts w:eastAsia="Tahoma"/>
        </w:rPr>
        <w:t xml:space="preserve">на главе Г «Счета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(сделки)»;</w:t>
      </w:r>
      <w:r>
        <w:rPr>
          <w:rFonts w:eastAsia="Tahoma"/>
        </w:rPr>
      </w:r>
    </w:p>
    <w:p>
      <w:pPr>
        <w:numPr>
          <w:ilvl w:val="0"/>
          <w:numId w:val="82"/>
        </w:numPr>
        <w:jc w:val="both"/>
      </w:pPr>
      <w:r>
        <w:t xml:space="preserve">учет производных финансовых инструментов, пример отражения в учете форвардного контракта; </w:t>
      </w:r>
      <w:r/>
    </w:p>
    <w:p>
      <w:pPr>
        <w:numPr>
          <w:ilvl w:val="0"/>
          <w:numId w:val="82"/>
        </w:numPr>
        <w:jc w:val="both"/>
      </w:pPr>
      <w:r>
        <w:t xml:space="preserve">учет сделок РЕПО и займов, выданных ценными бумагами;</w:t>
      </w:r>
      <w:r/>
    </w:p>
    <w:p>
      <w:pPr>
        <w:numPr>
          <w:ilvl w:val="0"/>
          <w:numId w:val="8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приобретенных векселей в соответствии с выбранной бизнес-моделью и оценочной категорией;</w:t>
      </w:r>
      <w:r>
        <w:rPr>
          <w:rFonts w:eastAsia="Tahoma"/>
        </w:rPr>
      </w:r>
    </w:p>
    <w:p>
      <w:pPr>
        <w:numPr>
          <w:ilvl w:val="0"/>
          <w:numId w:val="8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деятельности кредитной организации по управлению рисками, предусматривающей использование для этого инструментов хеджирования (Отраслевой стандарт бухгалтерского учета хеджирования кредитными организациями).</w:t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</w:pPr>
      <w:r>
        <w:t xml:space="preserve">Дет</w:t>
      </w:r>
      <w:r>
        <w:t xml:space="preserve">альное понимание международного стандарта финансовой отчетности МСФО (IFRS) 9 «Финансовые инструменты», его применения в финансово-хозяйственной деятельности аудируемых лиц и при осуществлении аудита и консалтинга аудиторскими организациями (аудиторами).  </w:t>
      </w:r>
      <w:r/>
    </w:p>
    <w:p>
      <w:pPr>
        <w:ind w:right="-113"/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  <w:t xml:space="preserve">6-4-09/1 «МСФО (IFRS) 9: ФИНАНСОВЫЕ ИНСТРУМЕНТЫ»</w:t>
      </w:r>
      <w:r>
        <w:rPr>
          <w:b/>
          <w:bCs/>
        </w:rPr>
      </w:r>
    </w:p>
    <w:p>
      <w:pPr>
        <w:contextualSpacing/>
        <w:ind w:left="360"/>
        <w:jc w:val="both"/>
        <w:rPr>
          <w:rFonts w:eastAsia="Tahoma"/>
          <w:b/>
          <w:bCs/>
        </w:rPr>
      </w:pPr>
      <w:r>
        <w:rPr>
          <w:rFonts w:eastAsia="Tahoma"/>
          <w:b/>
          <w:bCs/>
        </w:rPr>
      </w:r>
      <w:r>
        <w:rPr>
          <w:rFonts w:eastAsia="Tahoma"/>
          <w:b/>
          <w:bCs/>
        </w:rPr>
      </w:r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4 академических часа.</w:t>
      </w:r>
      <w:r/>
    </w:p>
    <w:p>
      <w:pPr>
        <w:jc w:val="both"/>
      </w:pPr>
      <w:r/>
      <w:r/>
    </w:p>
    <w:p>
      <w:pPr>
        <w:jc w:val="both"/>
      </w:pPr>
      <w:r>
        <w:rPr>
          <w:b/>
        </w:rPr>
        <w:t xml:space="preserve">Цель программы </w:t>
      </w:r>
      <w:r>
        <w:t xml:space="preserve">- углубление знаний аудиторов и руководителей аудита общественно значимых организаций, желающих специализироваться на аудите кредитных и </w:t>
      </w:r>
      <w:r>
        <w:t xml:space="preserve">некредитных</w:t>
      </w:r>
      <w:r>
        <w:t xml:space="preserve"> организаций, в части особенностей деятельности кредитных и </w:t>
      </w:r>
      <w:r>
        <w:t xml:space="preserve">некредитных</w:t>
      </w:r>
      <w:r>
        <w:t xml:space="preserve"> организаций, организации бухгалтерского учета, проведения аудита кредитных и </w:t>
      </w:r>
      <w:r>
        <w:t xml:space="preserve">некредитных</w:t>
      </w:r>
      <w:r>
        <w:t xml:space="preserve"> организаций, требований МСФО (IFRS) 9 «Финансовые инструменты».</w:t>
      </w:r>
      <w:r/>
    </w:p>
    <w:p>
      <w:pPr>
        <w:jc w:val="both"/>
      </w:pPr>
      <w:r/>
      <w:r/>
    </w:p>
    <w:p>
      <w:pPr>
        <w:numPr>
          <w:ilvl w:val="0"/>
          <w:numId w:val="8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классификация ценных бумаг для целей учета: распределение по оценочным категориям</w:t>
      </w:r>
      <w:r>
        <w:t xml:space="preserve"> в </w:t>
      </w:r>
      <w:r>
        <w:rPr>
          <w:rFonts w:eastAsia="Tahoma"/>
        </w:rPr>
        <w:t xml:space="preserve">результате выбранной бизнес-модели, изменение применяемой бизнес-модели в отношении ценных бумаг </w:t>
      </w:r>
      <w:r>
        <w:t xml:space="preserve">(Положение Банка России </w:t>
      </w:r>
      <w:r>
        <w:rPr>
          <w:rFonts w:eastAsia="Tahoma"/>
        </w:rPr>
        <w:t xml:space="preserve">№ 606</w:t>
      </w:r>
      <w:r>
        <w:t xml:space="preserve">-П</w:t>
      </w:r>
      <w:r>
        <w:rPr>
          <w:rFonts w:eastAsia="Tahoma"/>
        </w:rPr>
        <w:t xml:space="preserve">);</w:t>
      </w:r>
      <w:r>
        <w:rPr>
          <w:rFonts w:eastAsia="Tahoma"/>
        </w:rPr>
      </w:r>
    </w:p>
    <w:p>
      <w:pPr>
        <w:numPr>
          <w:ilvl w:val="0"/>
          <w:numId w:val="8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первоначальное признание ценных бумаг по справедливой стоимости: отражение финансового результата, учет отсроченной разницы; </w:t>
      </w:r>
      <w:r>
        <w:rPr>
          <w:rFonts w:eastAsia="Tahoma"/>
        </w:rPr>
      </w:r>
    </w:p>
    <w:p>
      <w:pPr>
        <w:numPr>
          <w:ilvl w:val="0"/>
          <w:numId w:val="83"/>
        </w:numPr>
        <w:jc w:val="both"/>
      </w:pPr>
      <w:r>
        <w:t xml:space="preserve">оценка справедливой стоимости в соответствии с МСФО (IFRS) 13: наблюдаемые и ненаблюдаемые данные, источники информации, классификация уровня справедливой стоимости.</w:t>
      </w:r>
      <w:r/>
    </w:p>
    <w:p>
      <w:pPr>
        <w:numPr>
          <w:ilvl w:val="0"/>
          <w:numId w:val="8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ценных бумаг по амортизированной стоимости: применение метода эффективной процентной ставки, начисление процентных доходов, корректировка до амортизированной стоимости;</w:t>
      </w:r>
      <w:r>
        <w:rPr>
          <w:rFonts w:eastAsia="Tahoma"/>
        </w:rPr>
      </w:r>
    </w:p>
    <w:p>
      <w:pPr>
        <w:numPr>
          <w:ilvl w:val="0"/>
          <w:numId w:val="8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методы расчета амортизированной стоимости в соответствии с МСФО (IFRS) 9. Рыночные и нерыночные процентные ставки. Источники получения информации.</w:t>
      </w:r>
      <w:r>
        <w:rPr>
          <w:rFonts w:eastAsia="Tahoma"/>
        </w:rPr>
      </w:r>
    </w:p>
    <w:p>
      <w:pPr>
        <w:numPr>
          <w:ilvl w:val="0"/>
          <w:numId w:val="8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ценных бумаг по справедливой стоимости через прочий совокупный доход и через прибыль или убыток. Переоценка по справедливой стоимости;</w:t>
      </w:r>
      <w:r>
        <w:rPr>
          <w:rFonts w:eastAsia="Tahoma"/>
        </w:rPr>
      </w:r>
    </w:p>
    <w:p>
      <w:pPr>
        <w:numPr>
          <w:ilvl w:val="0"/>
          <w:numId w:val="8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оценочный резерв под обесценение. Признаки обесценения. Определение актива как кредитно-обесцененного при первоначальном признании. Ожидаемые кредитные убытки и методы их оценки. Кред</w:t>
      </w:r>
      <w:r>
        <w:rPr>
          <w:rFonts w:eastAsia="Tahoma"/>
        </w:rPr>
        <w:t xml:space="preserve">итные риски и признаки их значительного увеличения. Определение дефолта и его признаки. Изменение методов оценки ожидаемых кредитных убытков при значительном увеличении кредитного риска, риска дефолта. Оценка риска на групповой основе (портфельный подход).</w:t>
      </w:r>
      <w:r>
        <w:rPr>
          <w:rFonts w:eastAsia="Tahoma"/>
        </w:rPr>
      </w:r>
    </w:p>
    <w:p>
      <w:pPr>
        <w:numPr>
          <w:ilvl w:val="0"/>
          <w:numId w:val="8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</w:t>
      </w:r>
      <w:r>
        <w:t xml:space="preserve">сделок </w:t>
      </w:r>
      <w:r>
        <w:rPr>
          <w:rFonts w:eastAsia="Tahoma"/>
        </w:rPr>
        <w:t xml:space="preserve">на главе Г «Счета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(сделки)»;</w:t>
      </w:r>
      <w:r>
        <w:rPr>
          <w:rFonts w:eastAsia="Tahoma"/>
        </w:rPr>
      </w:r>
    </w:p>
    <w:p>
      <w:pPr>
        <w:numPr>
          <w:ilvl w:val="0"/>
          <w:numId w:val="83"/>
        </w:numPr>
        <w:jc w:val="both"/>
      </w:pPr>
      <w:r>
        <w:t xml:space="preserve">учет производных финансовых инструментов, пример отражения в учете форвардного контракта; </w:t>
      </w:r>
      <w:r/>
    </w:p>
    <w:p>
      <w:pPr>
        <w:numPr>
          <w:ilvl w:val="0"/>
          <w:numId w:val="83"/>
        </w:numPr>
        <w:jc w:val="both"/>
      </w:pPr>
      <w:r>
        <w:t xml:space="preserve">учет сделок РЕПО и займов, выданных ценными бумагами;</w:t>
      </w:r>
      <w:r/>
    </w:p>
    <w:p>
      <w:pPr>
        <w:numPr>
          <w:ilvl w:val="0"/>
          <w:numId w:val="8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приобретенных векселей в соответствии с выбранной бизнес-моделью и оценочной категорией;</w:t>
      </w:r>
      <w:r>
        <w:rPr>
          <w:rFonts w:eastAsia="Tahoma"/>
        </w:rPr>
      </w:r>
    </w:p>
    <w:p>
      <w:pPr>
        <w:numPr>
          <w:ilvl w:val="0"/>
          <w:numId w:val="8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деятельности кредитной организации по управлению рисками, предусматривающей использование для этого инструментов хеджирования (Отраслевой стандарт бухгалтерского учета хеджирования кредитными организациями).</w:t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</w:pPr>
      <w:r>
        <w:t xml:space="preserve">Дет</w:t>
      </w:r>
      <w:r>
        <w:t xml:space="preserve">альное понимание международного стандарта финансовой отчетности МСФО (IFRS) 9 «Финансовые инструменты», его применения в финансово-хозяйственной деятельности аудируемых лиц и при осуществлении аудита и консалтинга аудиторскими организациями (аудиторами).  </w:t>
      </w:r>
      <w:r/>
    </w:p>
    <w:p>
      <w:pPr>
        <w:ind w:right="-113"/>
        <w:jc w:val="both"/>
      </w:pPr>
      <w:r/>
      <w:r/>
    </w:p>
    <w:p>
      <w:pPr>
        <w:jc w:val="both"/>
        <w:spacing w:before="100" w:beforeAutospacing="1" w:after="100" w:afterAutospacing="1"/>
        <w:rPr>
          <w:b/>
        </w:rPr>
      </w:pPr>
      <w:r>
        <w:rPr>
          <w:b/>
        </w:rPr>
        <w:t xml:space="preserve">6-4-10 «ПЛАН СЧЕТОВ И ОТРАСЛЕВЫЕ СТАНДАРТЫ БУХГАЛТЕРСКОГО УЧЕТА И ОТЧЕТНОСТИ ДЛЯ ПРОФЕССИОНАЛЬНЫХ УЧАСТНИКОВ РЫНКА ЦЕННЫХ БУМАГ И ТОВАРНОГО РЫНКА»</w:t>
      </w:r>
      <w:r>
        <w:rPr>
          <w:b/>
        </w:rPr>
      </w:r>
    </w:p>
    <w:p>
      <w:pPr>
        <w:jc w:val="both"/>
        <w:spacing w:before="100" w:beforeAutospacing="1" w:after="100" w:afterAutospacing="1"/>
      </w:pPr>
      <w:r>
        <w:rPr>
          <w:b/>
          <w:bCs/>
        </w:rPr>
        <w:t xml:space="preserve">Продолжительность обучения</w:t>
      </w:r>
      <w:r>
        <w:t xml:space="preserve"> – 40 академических часов.</w:t>
      </w:r>
      <w:r/>
    </w:p>
    <w:p>
      <w:pPr>
        <w:jc w:val="both"/>
        <w:spacing w:before="100" w:beforeAutospacing="1" w:after="100" w:afterAutospacing="1"/>
      </w:pPr>
      <w:r>
        <w:rPr>
          <w:b/>
        </w:rPr>
        <w:t xml:space="preserve">Цель программы</w:t>
      </w:r>
      <w:r>
        <w:t xml:space="preserve"> – обучение аудиторов и руководителей аудита общественно значимых организаций, финансовых специалистов </w:t>
      </w:r>
      <w:r>
        <w:t xml:space="preserve">некредитных</w:t>
      </w:r>
      <w:r>
        <w:t xml:space="preserve"> финансовых организаций (НФО): план счетов и отраслевые стандарты бухгалтерского учета, бухгалтерской (финансовой) отчетности </w:t>
      </w:r>
      <w:r>
        <w:t xml:space="preserve">некредитных</w:t>
      </w:r>
      <w:r>
        <w:t xml:space="preserve"> финансовых организаций.</w:t>
      </w:r>
      <w:r/>
    </w:p>
    <w:p>
      <w:pPr>
        <w:jc w:val="both"/>
        <w:spacing w:before="100" w:beforeAutospacing="1" w:after="100" w:afterAutospacing="1"/>
        <w:rPr>
          <w:b/>
          <w:bCs/>
        </w:rPr>
      </w:pPr>
      <w:r>
        <w:rPr>
          <w:b/>
          <w:bCs/>
          <w:iCs/>
        </w:rPr>
        <w:t xml:space="preserve">Тема 1</w:t>
      </w:r>
      <w:r>
        <w:rPr>
          <w:b/>
          <w:bCs/>
        </w:rPr>
        <w:t xml:space="preserve">. Единый план счетов бухгалтерского учета в НФО и порядок его применения</w:t>
      </w:r>
      <w:r>
        <w:rPr>
          <w:b/>
          <w:bCs/>
        </w:rPr>
      </w:r>
    </w:p>
    <w:p>
      <w:pPr>
        <w:numPr>
          <w:ilvl w:val="0"/>
          <w:numId w:val="66"/>
        </w:numPr>
        <w:jc w:val="both"/>
        <w:spacing w:before="100" w:beforeAutospacing="1" w:after="100" w:afterAutospacing="1"/>
      </w:pPr>
      <w:r>
        <w:t xml:space="preserve">Структура плана счетов для НФО. </w:t>
      </w:r>
      <w:r/>
    </w:p>
    <w:p>
      <w:pPr>
        <w:numPr>
          <w:ilvl w:val="0"/>
          <w:numId w:val="66"/>
        </w:numPr>
        <w:jc w:val="both"/>
        <w:spacing w:before="100" w:beforeAutospacing="1" w:after="100" w:afterAutospacing="1"/>
      </w:pPr>
      <w:r>
        <w:t xml:space="preserve">Организация синтетического и аналитического учета</w:t>
      </w:r>
      <w:r/>
    </w:p>
    <w:p>
      <w:pPr>
        <w:numPr>
          <w:ilvl w:val="0"/>
          <w:numId w:val="66"/>
        </w:numPr>
        <w:jc w:val="both"/>
        <w:spacing w:before="100" w:beforeAutospacing="1" w:after="100" w:afterAutospacing="1"/>
      </w:pPr>
      <w:r>
        <w:t xml:space="preserve">Парные счета и принцип их закрытия</w:t>
      </w:r>
      <w:r/>
    </w:p>
    <w:p>
      <w:pPr>
        <w:numPr>
          <w:ilvl w:val="0"/>
          <w:numId w:val="66"/>
        </w:numPr>
        <w:jc w:val="both"/>
        <w:spacing w:before="100" w:beforeAutospacing="1" w:after="100" w:afterAutospacing="1"/>
      </w:pPr>
      <w:r>
        <w:t xml:space="preserve">Порядок учета доходов и расходов</w:t>
      </w:r>
      <w:r/>
    </w:p>
    <w:p>
      <w:pPr>
        <w:jc w:val="both"/>
        <w:spacing w:before="100" w:beforeAutospacing="1" w:after="100" w:afterAutospacing="1"/>
        <w:rPr>
          <w:b/>
          <w:bCs/>
          <w:iCs/>
        </w:rPr>
      </w:pPr>
      <w:r>
        <w:rPr>
          <w:b/>
          <w:bCs/>
          <w:iCs/>
        </w:rPr>
        <w:t xml:space="preserve">Тема 2. Учет выданных и полученных займов</w:t>
      </w:r>
      <w:r>
        <w:rPr>
          <w:b/>
          <w:bCs/>
        </w:rPr>
        <w:t xml:space="preserve"> в соответствии с отраслевыми стандартами бухгалтерского учета</w:t>
      </w:r>
      <w:r>
        <w:rPr>
          <w:b/>
          <w:bCs/>
          <w:iCs/>
        </w:rPr>
      </w:r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Основные нормативные документы</w:t>
      </w:r>
      <w:r/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Ключевые определения и принципы учета</w:t>
      </w:r>
      <w:r/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Эффективная ставка процента (ЭСП)</w:t>
      </w:r>
      <w:r/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Прибыль / убыток при первоначальном признании</w:t>
      </w:r>
      <w:r/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Амортизированная стоимость. Изменение (пересмотр) ЭСП</w:t>
      </w:r>
      <w:r/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Освобождение от применения метода ЭСП</w:t>
      </w:r>
      <w:r/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Обесценение финансовых активов</w:t>
      </w:r>
      <w:r/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Полученные займы: капитализация процентов</w:t>
      </w:r>
      <w:r/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Учетная политика и стандарты экономического субъекта</w:t>
      </w:r>
      <w:r/>
    </w:p>
    <w:p>
      <w:pPr>
        <w:numPr>
          <w:ilvl w:val="0"/>
          <w:numId w:val="67"/>
        </w:numPr>
        <w:jc w:val="both"/>
        <w:spacing w:before="100" w:beforeAutospacing="1" w:after="100" w:afterAutospacing="1"/>
      </w:pPr>
      <w:r>
        <w:t xml:space="preserve">Бухгалтерский учет выданных и полученных займов</w:t>
      </w:r>
      <w:r/>
    </w:p>
    <w:p>
      <w:pPr>
        <w:jc w:val="both"/>
        <w:spacing w:before="100" w:beforeAutospacing="1" w:after="100" w:afterAutospacing="1"/>
        <w:rPr>
          <w:b/>
          <w:bCs/>
          <w:iCs/>
        </w:rPr>
      </w:pPr>
      <w:r>
        <w:rPr>
          <w:b/>
          <w:bCs/>
          <w:iCs/>
        </w:rPr>
        <w:t xml:space="preserve">Тема 3. Порядок учета требований и обязательств по договорам, имеющим отраслевую специфику. Бухгалтерский учет операций, связанных с осуществлением договора доверительного управления имуществом </w:t>
      </w:r>
      <w:r>
        <w:rPr>
          <w:b/>
          <w:bCs/>
          <w:iCs/>
        </w:rPr>
        <w:t xml:space="preserve">некредитными</w:t>
      </w:r>
      <w:r>
        <w:rPr>
          <w:b/>
          <w:bCs/>
          <w:iCs/>
        </w:rPr>
        <w:t xml:space="preserve"> финансовыми организациями</w:t>
      </w:r>
      <w:r>
        <w:rPr>
          <w:b/>
          <w:bCs/>
          <w:iCs/>
        </w:rPr>
      </w:r>
    </w:p>
    <w:p>
      <w:pPr>
        <w:numPr>
          <w:ilvl w:val="1"/>
          <w:numId w:val="38"/>
        </w:numPr>
        <w:ind w:left="426" w:hanging="426"/>
        <w:jc w:val="both"/>
        <w:spacing w:before="100" w:beforeAutospacing="1" w:after="100" w:afterAutospacing="1"/>
      </w:pPr>
      <w:r>
        <w:t xml:space="preserve">Основные нормативные документы</w:t>
      </w:r>
      <w:r/>
    </w:p>
    <w:p>
      <w:pPr>
        <w:numPr>
          <w:ilvl w:val="1"/>
          <w:numId w:val="38"/>
        </w:numPr>
        <w:ind w:left="426" w:hanging="426"/>
        <w:jc w:val="both"/>
        <w:spacing w:before="100" w:beforeAutospacing="1" w:after="100" w:afterAutospacing="1"/>
      </w:pPr>
      <w:r>
        <w:t xml:space="preserve">Бухгалтерский учет доверительным управляющим операций с имуществом, полученным в доверительное управление </w:t>
      </w:r>
      <w:r/>
    </w:p>
    <w:p>
      <w:pPr>
        <w:numPr>
          <w:ilvl w:val="1"/>
          <w:numId w:val="38"/>
        </w:numPr>
        <w:ind w:left="426" w:hanging="426"/>
        <w:jc w:val="both"/>
        <w:spacing w:before="100" w:beforeAutospacing="1" w:after="100" w:afterAutospacing="1"/>
      </w:pPr>
      <w:r>
        <w:t xml:space="preserve">Бухгалтерский учет доверительным управляющим собственных операций, связанных с осуществлением договора доверительного управления имуществом </w:t>
      </w:r>
      <w:r/>
    </w:p>
    <w:p>
      <w:pPr>
        <w:numPr>
          <w:ilvl w:val="1"/>
          <w:numId w:val="38"/>
        </w:numPr>
        <w:ind w:left="426" w:hanging="426"/>
        <w:jc w:val="both"/>
        <w:spacing w:before="100" w:beforeAutospacing="1" w:after="100" w:afterAutospacing="1"/>
      </w:pPr>
      <w:r>
        <w:t xml:space="preserve">Бухгалтерский</w:t>
      </w:r>
      <w:r>
        <w:t xml:space="preserve"> учет учредителем управления операций, связанных с осуществлением договора доверительного управления имуществом</w:t>
      </w:r>
      <w:r/>
    </w:p>
    <w:p>
      <w:pPr>
        <w:jc w:val="both"/>
        <w:spacing w:before="100" w:beforeAutospacing="1" w:after="100" w:afterAutospacing="1"/>
        <w:rPr>
          <w:b/>
          <w:bCs/>
          <w:iCs/>
        </w:rPr>
      </w:pPr>
      <w:r>
        <w:rPr>
          <w:b/>
          <w:bCs/>
          <w:iCs/>
        </w:rPr>
        <w:t xml:space="preserve">Тема 4. Бухгалтерский учет брокерских операций</w:t>
      </w:r>
      <w:r>
        <w:rPr>
          <w:b/>
          <w:bCs/>
          <w:iCs/>
        </w:rPr>
      </w:r>
    </w:p>
    <w:p>
      <w:pPr>
        <w:jc w:val="both"/>
        <w:spacing w:before="100" w:beforeAutospacing="1" w:after="100" w:afterAutospacing="1"/>
      </w:pPr>
      <w:r>
        <w:t xml:space="preserve">1. Основные нормативные документы</w:t>
      </w:r>
      <w:r/>
    </w:p>
    <w:p>
      <w:pPr>
        <w:jc w:val="both"/>
        <w:spacing w:before="100" w:beforeAutospacing="1" w:after="100" w:afterAutospacing="1"/>
      </w:pPr>
      <w:r>
        <w:t xml:space="preserve">2. Основные аспекты брокерской деятельности</w:t>
      </w:r>
      <w:r/>
    </w:p>
    <w:p>
      <w:pPr>
        <w:jc w:val="both"/>
        <w:spacing w:before="100" w:beforeAutospacing="1" w:after="100" w:afterAutospacing="1"/>
      </w:pPr>
      <w:r>
        <w:t xml:space="preserve">3. Особенности текущего учета и нового учета брокерских операций:</w:t>
      </w:r>
      <w:r/>
    </w:p>
    <w:p>
      <w:pPr>
        <w:numPr>
          <w:ilvl w:val="1"/>
          <w:numId w:val="44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num" w:pos="540" w:leader="none"/>
          <w:tab w:val="clear" w:pos="1440" w:leader="none"/>
        </w:tabs>
      </w:pPr>
      <w:r>
        <w:t xml:space="preserve">особенности текущего учета по договорам поручения;</w:t>
      </w:r>
      <w:r/>
    </w:p>
    <w:p>
      <w:pPr>
        <w:numPr>
          <w:ilvl w:val="1"/>
          <w:numId w:val="44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num" w:pos="540" w:leader="none"/>
          <w:tab w:val="clear" w:pos="1440" w:leader="none"/>
        </w:tabs>
      </w:pPr>
      <w:r>
        <w:t xml:space="preserve">особенности текущего учета по договорам комиссии;</w:t>
      </w:r>
      <w:r/>
    </w:p>
    <w:p>
      <w:pPr>
        <w:numPr>
          <w:ilvl w:val="1"/>
          <w:numId w:val="44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num" w:pos="540" w:leader="none"/>
          <w:tab w:val="clear" w:pos="1440" w:leader="none"/>
        </w:tabs>
      </w:pPr>
      <w:r>
        <w:t xml:space="preserve">учет брокерских операций по новым правилам;</w:t>
      </w:r>
      <w:r/>
    </w:p>
    <w:p>
      <w:pPr>
        <w:numPr>
          <w:ilvl w:val="1"/>
          <w:numId w:val="44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num" w:pos="540" w:leader="none"/>
          <w:tab w:val="clear" w:pos="1440" w:leader="none"/>
        </w:tabs>
      </w:pPr>
      <w:r>
        <w:t xml:space="preserve">основные счета для учета брокерских операций.</w:t>
      </w:r>
      <w:r/>
    </w:p>
    <w:p>
      <w:pPr>
        <w:jc w:val="both"/>
        <w:spacing w:before="100" w:beforeAutospacing="1" w:after="100" w:afterAutospacing="1"/>
      </w:pPr>
      <w:r>
        <w:t xml:space="preserve">4. Бухгалтерский учет брокерских операций:</w:t>
      </w:r>
      <w:r/>
    </w:p>
    <w:p>
      <w:pPr>
        <w:numPr>
          <w:ilvl w:val="1"/>
          <w:numId w:val="45"/>
        </w:numPr>
        <w:ind w:left="426" w:hanging="426"/>
        <w:jc w:val="both"/>
        <w:spacing w:before="100" w:beforeAutospacing="1" w:after="100" w:afterAutospacing="1"/>
        <w:tabs>
          <w:tab w:val="num" w:pos="993" w:leader="none"/>
          <w:tab w:val="clear" w:pos="1440" w:leader="none"/>
        </w:tabs>
      </w:pPr>
      <w:r>
        <w:t xml:space="preserve">ввод и вывод денежных средств клиентами;</w:t>
      </w:r>
      <w:r/>
    </w:p>
    <w:p>
      <w:pPr>
        <w:numPr>
          <w:ilvl w:val="1"/>
          <w:numId w:val="45"/>
        </w:numPr>
        <w:ind w:left="426" w:hanging="426"/>
        <w:jc w:val="both"/>
        <w:spacing w:before="100" w:beforeAutospacing="1" w:after="100" w:afterAutospacing="1"/>
        <w:tabs>
          <w:tab w:val="num" w:pos="993" w:leader="none"/>
          <w:tab w:val="clear" w:pos="1440" w:leader="none"/>
        </w:tabs>
      </w:pPr>
      <w:r>
        <w:t xml:space="preserve">операции по договору поручения;</w:t>
      </w:r>
      <w:r/>
    </w:p>
    <w:p>
      <w:pPr>
        <w:numPr>
          <w:ilvl w:val="1"/>
          <w:numId w:val="45"/>
        </w:numPr>
        <w:ind w:left="426" w:hanging="426"/>
        <w:jc w:val="both"/>
        <w:spacing w:before="100" w:beforeAutospacing="1" w:after="100" w:afterAutospacing="1"/>
        <w:tabs>
          <w:tab w:val="num" w:pos="993" w:leader="none"/>
          <w:tab w:val="clear" w:pos="1440" w:leader="none"/>
        </w:tabs>
      </w:pPr>
      <w:r>
        <w:t xml:space="preserve">операции по договору комиссии;</w:t>
      </w:r>
      <w:r/>
    </w:p>
    <w:p>
      <w:pPr>
        <w:numPr>
          <w:ilvl w:val="1"/>
          <w:numId w:val="45"/>
        </w:numPr>
        <w:ind w:left="426" w:hanging="426"/>
        <w:jc w:val="both"/>
        <w:spacing w:before="100" w:beforeAutospacing="1" w:after="100" w:afterAutospacing="1"/>
        <w:tabs>
          <w:tab w:val="num" w:pos="993" w:leader="none"/>
          <w:tab w:val="clear" w:pos="1440" w:leader="none"/>
        </w:tabs>
      </w:pPr>
      <w:r>
        <w:t xml:space="preserve">брокерские комиссии;</w:t>
      </w:r>
      <w:r/>
    </w:p>
    <w:p>
      <w:pPr>
        <w:numPr>
          <w:ilvl w:val="1"/>
          <w:numId w:val="45"/>
        </w:numPr>
        <w:ind w:left="426" w:hanging="426"/>
        <w:jc w:val="both"/>
        <w:spacing w:before="100" w:beforeAutospacing="1" w:after="100" w:afterAutospacing="1"/>
        <w:tabs>
          <w:tab w:val="num" w:pos="993" w:leader="none"/>
          <w:tab w:val="clear" w:pos="1440" w:leader="none"/>
        </w:tabs>
      </w:pPr>
      <w:r>
        <w:t xml:space="preserve">маржинальные займы;</w:t>
      </w:r>
      <w:r/>
    </w:p>
    <w:p>
      <w:pPr>
        <w:numPr>
          <w:ilvl w:val="1"/>
          <w:numId w:val="45"/>
        </w:numPr>
        <w:ind w:left="426" w:hanging="426"/>
        <w:jc w:val="both"/>
        <w:spacing w:before="100" w:beforeAutospacing="1" w:after="100" w:afterAutospacing="1"/>
        <w:tabs>
          <w:tab w:val="num" w:pos="993" w:leader="none"/>
          <w:tab w:val="clear" w:pos="1440" w:leader="none"/>
        </w:tabs>
      </w:pPr>
      <w:r>
        <w:t xml:space="preserve">«своя» и клиентская позиция.</w:t>
      </w:r>
      <w:r/>
    </w:p>
    <w:p>
      <w:pPr>
        <w:jc w:val="both"/>
        <w:spacing w:before="100" w:beforeAutospacing="1" w:after="100" w:afterAutospacing="1"/>
        <w:rPr>
          <w:b/>
          <w:bCs/>
          <w:iCs/>
        </w:rPr>
      </w:pPr>
      <w:r>
        <w:rPr>
          <w:b/>
          <w:bCs/>
          <w:iCs/>
        </w:rPr>
        <w:t xml:space="preserve">Тема 5. Порядок учета финансовых инструментов. Учет операций с приобретенными ценными бумагами в </w:t>
      </w:r>
      <w:r>
        <w:rPr>
          <w:b/>
          <w:bCs/>
          <w:iCs/>
        </w:rPr>
        <w:t xml:space="preserve">некредитных</w:t>
      </w:r>
      <w:r>
        <w:rPr>
          <w:b/>
          <w:bCs/>
          <w:iCs/>
        </w:rPr>
        <w:t xml:space="preserve"> финансовых организациях</w:t>
      </w:r>
      <w:r>
        <w:rPr>
          <w:b/>
          <w:bCs/>
          <w:iCs/>
        </w:rPr>
      </w:r>
    </w:p>
    <w:p>
      <w:pPr>
        <w:numPr>
          <w:ilvl w:val="1"/>
          <w:numId w:val="47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1440" w:leader="none"/>
        </w:tabs>
      </w:pPr>
      <w:r>
        <w:t xml:space="preserve">Основные нормативные документы</w:t>
      </w:r>
      <w:r/>
    </w:p>
    <w:p>
      <w:pPr>
        <w:numPr>
          <w:ilvl w:val="1"/>
          <w:numId w:val="47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1440" w:leader="none"/>
        </w:tabs>
      </w:pPr>
      <w:r>
        <w:t xml:space="preserve">Первоначальное признание ценных бумаг</w:t>
      </w:r>
      <w:r/>
    </w:p>
    <w:p>
      <w:pPr>
        <w:numPr>
          <w:ilvl w:val="1"/>
          <w:numId w:val="47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1440" w:leader="none"/>
        </w:tabs>
      </w:pPr>
      <w:r>
        <w:t xml:space="preserve">Классификация ценных бумаг для целей бухгалтерского учета. Критерии классификации ценных бумаг</w:t>
      </w:r>
      <w:r/>
    </w:p>
    <w:p>
      <w:pPr>
        <w:numPr>
          <w:ilvl w:val="1"/>
          <w:numId w:val="47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1440" w:leader="none"/>
        </w:tabs>
      </w:pPr>
      <w:r>
        <w:t xml:space="preserve">Вложения в дочерние и ассоциированные компании</w:t>
      </w:r>
      <w:r/>
    </w:p>
    <w:p>
      <w:pPr>
        <w:numPr>
          <w:ilvl w:val="1"/>
          <w:numId w:val="47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1440" w:leader="none"/>
        </w:tabs>
      </w:pPr>
      <w:r>
        <w:t xml:space="preserve">Амортизированная стоимость</w:t>
      </w:r>
      <w:r/>
    </w:p>
    <w:p>
      <w:pPr>
        <w:numPr>
          <w:ilvl w:val="1"/>
          <w:numId w:val="47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1440" w:leader="none"/>
        </w:tabs>
      </w:pPr>
      <w:r>
        <w:t xml:space="preserve">Справедливая стоимость</w:t>
      </w:r>
      <w:r/>
    </w:p>
    <w:p>
      <w:pPr>
        <w:numPr>
          <w:ilvl w:val="1"/>
          <w:numId w:val="47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1440" w:leader="none"/>
        </w:tabs>
      </w:pPr>
      <w:r>
        <w:t xml:space="preserve">Иерархия справедливой стоимости в соответствии с Международным стандартом финансовой отчетности (IFRS) 13 «Оценка справедливой стоимости» (МСФО 13). Понятие активного рынка в соответствии с МСФО 13</w:t>
      </w:r>
      <w:r/>
    </w:p>
    <w:p>
      <w:pPr>
        <w:numPr>
          <w:ilvl w:val="1"/>
          <w:numId w:val="47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1440" w:leader="none"/>
        </w:tabs>
      </w:pPr>
      <w:r>
        <w:t xml:space="preserve">Учет приобретения ценных бумаг. Бухгалтерский учет процентного дохода по долговым ценным бумагам. Бухгалтерский учет ценных бумаг. Учет выбытия ценных бумаг</w:t>
      </w:r>
      <w:r/>
    </w:p>
    <w:p>
      <w:pPr>
        <w:numPr>
          <w:ilvl w:val="1"/>
          <w:numId w:val="47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1440" w:leader="none"/>
        </w:tabs>
      </w:pPr>
      <w:r>
        <w:t xml:space="preserve">Учет сделок РЕПО</w:t>
      </w:r>
      <w:r/>
    </w:p>
    <w:p>
      <w:pPr>
        <w:jc w:val="both"/>
        <w:spacing w:before="100" w:beforeAutospacing="1" w:after="100" w:afterAutospacing="1"/>
        <w:rPr>
          <w:b/>
          <w:bCs/>
          <w:iCs/>
        </w:rPr>
      </w:pPr>
      <w:r>
        <w:rPr>
          <w:b/>
          <w:bCs/>
          <w:iCs/>
        </w:rPr>
        <w:t xml:space="preserve">Тема 6. Порядок учета финансовых инструментов. Производные финансовые инструменты (ПФИ)</w:t>
      </w:r>
      <w:r>
        <w:rPr>
          <w:b/>
          <w:bCs/>
          <w:iCs/>
        </w:rPr>
      </w:r>
    </w:p>
    <w:p>
      <w:pPr>
        <w:numPr>
          <w:ilvl w:val="0"/>
          <w:numId w:val="48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Основные нормативные документы</w:t>
      </w:r>
      <w:r/>
    </w:p>
    <w:p>
      <w:pPr>
        <w:numPr>
          <w:ilvl w:val="0"/>
          <w:numId w:val="48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Определения ПФИ</w:t>
      </w:r>
      <w:r/>
    </w:p>
    <w:p>
      <w:pPr>
        <w:numPr>
          <w:ilvl w:val="0"/>
          <w:numId w:val="48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Виды ПФИ</w:t>
      </w:r>
      <w:r/>
    </w:p>
    <w:p>
      <w:pPr>
        <w:numPr>
          <w:ilvl w:val="0"/>
          <w:numId w:val="48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Общие требования к учёту ПФИ</w:t>
      </w:r>
      <w:r/>
    </w:p>
    <w:p>
      <w:pPr>
        <w:numPr>
          <w:ilvl w:val="0"/>
          <w:numId w:val="48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Оценка ПФИ – требования отраслевых стандартов бухгалтерского учета и рыночная практика использования МСФО</w:t>
      </w:r>
      <w:r/>
    </w:p>
    <w:p>
      <w:pPr>
        <w:numPr>
          <w:ilvl w:val="0"/>
          <w:numId w:val="48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Отражение справедливой стоимости ПФИ при первоначальном признании</w:t>
      </w:r>
      <w:r/>
    </w:p>
    <w:p>
      <w:pPr>
        <w:jc w:val="both"/>
        <w:spacing w:before="100" w:beforeAutospacing="1" w:after="100" w:afterAutospacing="1"/>
        <w:rPr>
          <w:b/>
          <w:bCs/>
          <w:iCs/>
        </w:rPr>
      </w:pPr>
      <w:r>
        <w:rPr>
          <w:b/>
          <w:bCs/>
          <w:iCs/>
        </w:rPr>
        <w:t xml:space="preserve">Тема 7. Учет хеджирования</w:t>
      </w:r>
      <w:r>
        <w:rPr>
          <w:b/>
          <w:bCs/>
          <w:iCs/>
        </w:rPr>
      </w:r>
    </w:p>
    <w:p>
      <w:pPr>
        <w:numPr>
          <w:ilvl w:val="0"/>
          <w:numId w:val="49"/>
        </w:numPr>
        <w:ind w:left="426" w:hanging="426"/>
        <w:jc w:val="both"/>
        <w:spacing w:before="100" w:beforeAutospacing="1" w:after="100" w:afterAutospacing="1"/>
        <w:tabs>
          <w:tab w:val="num" w:pos="567" w:leader="none"/>
          <w:tab w:val="clear" w:pos="720" w:leader="none"/>
        </w:tabs>
      </w:pPr>
      <w:r>
        <w:t xml:space="preserve">Основные нормативные документы</w:t>
      </w:r>
      <w:r/>
    </w:p>
    <w:p>
      <w:pPr>
        <w:numPr>
          <w:ilvl w:val="0"/>
          <w:numId w:val="49"/>
        </w:numPr>
        <w:ind w:left="426" w:hanging="426"/>
        <w:jc w:val="both"/>
        <w:spacing w:before="100" w:beforeAutospacing="1" w:after="100" w:afterAutospacing="1"/>
        <w:tabs>
          <w:tab w:val="num" w:pos="567" w:leader="none"/>
          <w:tab w:val="clear" w:pos="720" w:leader="none"/>
        </w:tabs>
      </w:pPr>
      <w:r>
        <w:t xml:space="preserve">Управление рисками с помощью хеджирования</w:t>
      </w:r>
      <w:r/>
    </w:p>
    <w:p>
      <w:pPr>
        <w:numPr>
          <w:ilvl w:val="0"/>
          <w:numId w:val="49"/>
        </w:numPr>
        <w:ind w:left="426" w:hanging="426"/>
        <w:jc w:val="both"/>
        <w:spacing w:before="100" w:beforeAutospacing="1" w:after="100" w:afterAutospacing="1"/>
        <w:tabs>
          <w:tab w:val="num" w:pos="567" w:leader="none"/>
          <w:tab w:val="clear" w:pos="720" w:leader="none"/>
        </w:tabs>
      </w:pPr>
      <w:r>
        <w:t xml:space="preserve">Общие положения отраслевых стандартов бухгалтерского учета хеджирования</w:t>
      </w:r>
      <w:r/>
    </w:p>
    <w:p>
      <w:pPr>
        <w:numPr>
          <w:ilvl w:val="0"/>
          <w:numId w:val="49"/>
        </w:numPr>
        <w:ind w:left="426" w:hanging="426"/>
        <w:jc w:val="both"/>
        <w:spacing w:before="100" w:beforeAutospacing="1" w:after="100" w:afterAutospacing="1"/>
        <w:tabs>
          <w:tab w:val="num" w:pos="567" w:leader="none"/>
          <w:tab w:val="clear" w:pos="720" w:leader="none"/>
        </w:tabs>
      </w:pPr>
      <w:r>
        <w:t xml:space="preserve">Инструменты хеджирования</w:t>
      </w:r>
      <w:r/>
    </w:p>
    <w:p>
      <w:pPr>
        <w:numPr>
          <w:ilvl w:val="0"/>
          <w:numId w:val="49"/>
        </w:numPr>
        <w:ind w:left="426" w:hanging="426"/>
        <w:jc w:val="both"/>
        <w:spacing w:before="100" w:beforeAutospacing="1" w:after="100" w:afterAutospacing="1"/>
        <w:tabs>
          <w:tab w:val="num" w:pos="567" w:leader="none"/>
          <w:tab w:val="clear" w:pos="720" w:leader="none"/>
        </w:tabs>
      </w:pPr>
      <w:r>
        <w:t xml:space="preserve">Объекты хеджирования</w:t>
      </w:r>
      <w:r/>
    </w:p>
    <w:p>
      <w:pPr>
        <w:numPr>
          <w:ilvl w:val="0"/>
          <w:numId w:val="49"/>
        </w:numPr>
        <w:ind w:left="426" w:hanging="426"/>
        <w:jc w:val="both"/>
        <w:spacing w:before="100" w:beforeAutospacing="1" w:after="100" w:afterAutospacing="1"/>
        <w:tabs>
          <w:tab w:val="num" w:pos="567" w:leader="none"/>
          <w:tab w:val="clear" w:pos="720" w:leader="none"/>
        </w:tabs>
      </w:pPr>
      <w:r>
        <w:t xml:space="preserve">Требования к документированию</w:t>
      </w:r>
      <w:r/>
    </w:p>
    <w:p>
      <w:pPr>
        <w:numPr>
          <w:ilvl w:val="0"/>
          <w:numId w:val="49"/>
        </w:numPr>
        <w:ind w:left="426" w:hanging="426"/>
        <w:jc w:val="both"/>
        <w:spacing w:before="100" w:beforeAutospacing="1" w:after="100" w:afterAutospacing="1"/>
        <w:tabs>
          <w:tab w:val="num" w:pos="567" w:leader="none"/>
          <w:tab w:val="clear" w:pos="720" w:leader="none"/>
        </w:tabs>
      </w:pPr>
      <w:r>
        <w:t xml:space="preserve">Эффективность хеджирования</w:t>
      </w:r>
      <w:r/>
    </w:p>
    <w:p>
      <w:pPr>
        <w:numPr>
          <w:ilvl w:val="0"/>
          <w:numId w:val="49"/>
        </w:numPr>
        <w:ind w:left="426" w:hanging="426"/>
        <w:jc w:val="both"/>
        <w:spacing w:before="100" w:beforeAutospacing="1" w:after="100" w:afterAutospacing="1"/>
        <w:tabs>
          <w:tab w:val="num" w:pos="567" w:leader="none"/>
          <w:tab w:val="clear" w:pos="720" w:leader="none"/>
        </w:tabs>
      </w:pPr>
      <w:r>
        <w:t xml:space="preserve">Виды учета хеджирования</w:t>
      </w:r>
      <w:r/>
    </w:p>
    <w:p>
      <w:pPr>
        <w:jc w:val="both"/>
        <w:spacing w:before="100" w:beforeAutospacing="1" w:after="100" w:afterAutospacing="1"/>
        <w:rPr>
          <w:b/>
          <w:bCs/>
          <w:iCs/>
        </w:rPr>
      </w:pPr>
      <w:r>
        <w:rPr>
          <w:b/>
          <w:bCs/>
          <w:iCs/>
        </w:rPr>
        <w:t xml:space="preserve">Тема 8. Порядок учета общехозяйственных операций и прочих операций в </w:t>
      </w:r>
      <w:r>
        <w:rPr>
          <w:b/>
          <w:bCs/>
          <w:iCs/>
        </w:rPr>
        <w:t xml:space="preserve">некредитных</w:t>
      </w:r>
      <w:r>
        <w:rPr>
          <w:b/>
          <w:bCs/>
          <w:iCs/>
        </w:rPr>
        <w:t xml:space="preserve"> финансовых организациях</w:t>
      </w:r>
      <w:r>
        <w:rPr>
          <w:b/>
          <w:bCs/>
          <w:iCs/>
        </w:rPr>
      </w:r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Бухгалтерский учет основных средств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Бухгалтерский учет нематериальных активов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Бухгалтерский учет инвестиционного имущества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Бухгалтерский учет долгосрочных активов, предназначенных для продажи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Учет договоров аренды 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Учет запасов, средств труда и предметов труда, полученных по договорам отступного, залога, назначение которых не определено 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Отраслевой стандарт «О порядке бухгалтерского учета вознаграждений работникам </w:t>
      </w:r>
      <w:r>
        <w:t xml:space="preserve">некредитными</w:t>
      </w:r>
      <w:r>
        <w:t xml:space="preserve"> финансовыми организациями» (Положение Банка России № 489-П от 04.09. 2015)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Отраслевой стандарт бухгалтерского учета резервов – оценочных обязательств и условных обязательств </w:t>
      </w:r>
      <w:r>
        <w:t xml:space="preserve">некредитными</w:t>
      </w:r>
      <w:r>
        <w:t xml:space="preserve"> финансовыми организациями (Положение Банка России №508-П от 03.12.2015)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Отраслевой стандарт бухгалтерского учета отложенных налоговых обязательств и отложенных налоговых активов </w:t>
      </w:r>
      <w:r>
        <w:t xml:space="preserve">некредитными</w:t>
      </w:r>
      <w:r>
        <w:t xml:space="preserve"> финансовыми организациями (Положение Банка России №490-П от 04.09.2015)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Учет событий после окончания отчетного года</w:t>
      </w:r>
      <w:r/>
    </w:p>
    <w:p>
      <w:pPr>
        <w:numPr>
          <w:ilvl w:val="0"/>
          <w:numId w:val="50"/>
        </w:numPr>
        <w:ind w:left="426" w:hanging="426"/>
        <w:jc w:val="both"/>
        <w:spacing w:before="100" w:beforeAutospacing="1" w:after="100" w:afterAutospacing="1"/>
        <w:tabs>
          <w:tab w:val="clear" w:pos="720" w:leader="none"/>
        </w:tabs>
      </w:pPr>
      <w:r>
        <w:t xml:space="preserve">Положение Банка России от 28.12.2015 N 523-П "Отраслевой стандарт бухгалтерского учета «Порядок исправления ошибок в бухгалтерском учете и бухгалтерской (финансовой) отчетности </w:t>
      </w:r>
      <w:r>
        <w:t xml:space="preserve">некредитными</w:t>
      </w:r>
      <w:r>
        <w:t xml:space="preserve"> финансовыми организациями» </w:t>
      </w:r>
      <w:r/>
    </w:p>
    <w:p>
      <w:pPr>
        <w:jc w:val="both"/>
        <w:spacing w:before="100" w:beforeAutospacing="1" w:after="100" w:afterAutospacing="1"/>
        <w:rPr>
          <w:b/>
          <w:bCs/>
          <w:iCs/>
        </w:rPr>
      </w:pPr>
      <w:r>
        <w:rPr>
          <w:b/>
          <w:bCs/>
          <w:iCs/>
        </w:rPr>
        <w:t xml:space="preserve">Тема 9. Отраслевой стандарт бухгалтерского учета «Порядок составления бухгалтерской (фина</w:t>
      </w:r>
      <w:r>
        <w:rPr>
          <w:b/>
          <w:bCs/>
          <w:iCs/>
        </w:rPr>
        <w:t xml:space="preserve">нсовой) отчетности профессиональных участников рынка ценных бумаг, акционерных инвестиционных фондов, организаторов торговли, центральных контрагентов, клиринговых организаций, специализированных депозитариев инвестиционного фонда, паевого инвестиционного </w:t>
      </w:r>
      <w:r>
        <w:rPr>
          <w:b/>
          <w:bCs/>
          <w:iCs/>
        </w:rPr>
        <w:t xml:space="preserve">фонда и негосударственного пенсионного фонда, управляющих компаний инвестиционного фонда, паевого инвестиционного фонда и негосударственного пенсионного фонда, бюро кредитных историй, кредитных рейтинговых агентств, страховых брокеров» №532-П от 03.02.2016</w:t>
      </w:r>
      <w:r>
        <w:rPr>
          <w:b/>
          <w:bCs/>
          <w:iCs/>
        </w:rPr>
      </w:r>
    </w:p>
    <w:p>
      <w:pPr>
        <w:numPr>
          <w:ilvl w:val="0"/>
          <w:numId w:val="46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Особенности составления бухгалтерской финансовой отчетности (БФО)</w:t>
      </w:r>
      <w:r/>
    </w:p>
    <w:p>
      <w:pPr>
        <w:numPr>
          <w:ilvl w:val="0"/>
          <w:numId w:val="46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Порядок составления БФО</w:t>
      </w:r>
      <w:r/>
    </w:p>
    <w:p>
      <w:pPr>
        <w:numPr>
          <w:ilvl w:val="0"/>
          <w:numId w:val="46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Требования к представлению БФО</w:t>
      </w:r>
      <w:r/>
    </w:p>
    <w:p>
      <w:pPr>
        <w:numPr>
          <w:ilvl w:val="0"/>
          <w:numId w:val="46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Состав обязательных форм отчетности и раскрытий к отчетности</w:t>
      </w:r>
      <w:r/>
    </w:p>
    <w:p>
      <w:pPr>
        <w:numPr>
          <w:ilvl w:val="0"/>
          <w:numId w:val="46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Бухгалтерский баланс </w:t>
      </w:r>
      <w:r>
        <w:t xml:space="preserve">некредитной</w:t>
      </w:r>
      <w:r>
        <w:t xml:space="preserve"> финансовой организации</w:t>
      </w:r>
      <w:r/>
    </w:p>
    <w:p>
      <w:pPr>
        <w:numPr>
          <w:ilvl w:val="0"/>
          <w:numId w:val="46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Отчет о финансовых результатах </w:t>
      </w:r>
      <w:r>
        <w:t xml:space="preserve">некредитной</w:t>
      </w:r>
      <w:r>
        <w:t xml:space="preserve"> финансовой организации</w:t>
      </w:r>
      <w:r/>
    </w:p>
    <w:p>
      <w:pPr>
        <w:numPr>
          <w:ilvl w:val="0"/>
          <w:numId w:val="46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Отчет об изменениях собственного капитала </w:t>
      </w:r>
      <w:r>
        <w:t xml:space="preserve">некредитной</w:t>
      </w:r>
      <w:r>
        <w:t xml:space="preserve"> финансовой организации</w:t>
      </w:r>
      <w:r/>
    </w:p>
    <w:p>
      <w:pPr>
        <w:numPr>
          <w:ilvl w:val="0"/>
          <w:numId w:val="46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Отчет о потоках денежных средств </w:t>
      </w:r>
      <w:r>
        <w:t xml:space="preserve">некредитной</w:t>
      </w:r>
      <w:r>
        <w:t xml:space="preserve"> финансовой организации</w:t>
      </w:r>
      <w:r/>
    </w:p>
    <w:p>
      <w:pPr>
        <w:numPr>
          <w:ilvl w:val="0"/>
          <w:numId w:val="46"/>
        </w:numPr>
        <w:ind w:left="426" w:hanging="426"/>
        <w:jc w:val="both"/>
        <w:spacing w:before="100" w:beforeAutospacing="1" w:after="100" w:afterAutospacing="1"/>
        <w:tabs>
          <w:tab w:val="num" w:pos="426" w:leader="none"/>
          <w:tab w:val="clear" w:pos="720" w:leader="none"/>
        </w:tabs>
      </w:pPr>
      <w:r>
        <w:t xml:space="preserve">Примечания в составе БФО </w:t>
      </w:r>
      <w:r>
        <w:t xml:space="preserve">некредитной</w:t>
      </w:r>
      <w:r>
        <w:t xml:space="preserve"> финансовой организации</w:t>
      </w:r>
      <w:r/>
    </w:p>
    <w:p>
      <w:pPr>
        <w:jc w:val="both"/>
        <w:spacing w:before="100" w:beforeAutospacing="1" w:after="100" w:afterAutospacing="1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right="-113"/>
        <w:jc w:val="both"/>
      </w:pPr>
      <w:r>
        <w:t xml:space="preserve">Глубокое понимание отраслевых стандартов бухгалтерского учета и правил составления бухгалтерской (финансовой) отчетности </w:t>
      </w:r>
      <w:r>
        <w:t xml:space="preserve">некредитных</w:t>
      </w:r>
      <w:r>
        <w:t xml:space="preserve"> финансовых организаций, необходимое для проведения аудита.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/>
      <w:r/>
    </w:p>
    <w:p>
      <w:pPr>
        <w:ind w:right="-113"/>
        <w:jc w:val="both"/>
        <w:rPr>
          <w:rFonts w:eastAsia="Calibri"/>
          <w:b/>
        </w:rPr>
      </w:pPr>
      <w:r>
        <w:rPr>
          <w:b/>
        </w:rPr>
        <w:t xml:space="preserve">6-4-11 </w:t>
      </w:r>
      <w:r>
        <w:rPr>
          <w:rFonts w:eastAsia="Calibri"/>
          <w:b/>
          <w:lang w:eastAsia="en-US"/>
        </w:rPr>
        <w:t xml:space="preserve">«АКТУАЛЬНЫЕ ВОПРОСЫ ПРИМЕНЕНИЯ</w:t>
      </w:r>
      <w:r>
        <w:rPr>
          <w:rFonts w:eastAsia="Calibri"/>
          <w:b/>
        </w:rPr>
        <w:t xml:space="preserve"> </w:t>
      </w:r>
      <w:r>
        <w:rPr>
          <w:rFonts w:eastAsia="Calibri"/>
          <w:b/>
          <w:lang w:eastAsia="en-US"/>
        </w:rPr>
        <w:t xml:space="preserve">ОТРАСЛЕВЫХ СТАНДАРТОВ БУХГАЛТЕРСКОГО УЧЕТА, МСФО,</w:t>
      </w:r>
      <w:r>
        <w:rPr>
          <w:rFonts w:eastAsia="Calibri"/>
          <w:b/>
        </w:rPr>
        <w:t xml:space="preserve"> ПОСЛЕДНИЕ ИЗМЕНЕНИЯ В НАЛОГООБЛОЖЕНИИ И ЗАКОНОДАТЕЛЬСТВЕ ПРИ АУДИТЕ КРЕДИТНЫХ ОРГАНИЗАЦИЙ, ГОЛОВНЫХ КРЕДИТНЫХ ОРГАНИЗАЦИЙ БАНКОВСКИХ ГРУПП, ДИЛЕРОВ, ФОРЕКС-ДИЛЕРОВ»</w:t>
      </w:r>
      <w:r>
        <w:rPr>
          <w:rFonts w:eastAsia="Calibri"/>
          <w:b/>
        </w:rPr>
      </w:r>
    </w:p>
    <w:p>
      <w:pPr>
        <w:ind w:left="10" w:right="-113" w:hanging="10"/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ind w:left="10" w:right="-113" w:hanging="10"/>
        <w:jc w:val="both"/>
      </w:pPr>
      <w:r>
        <w:rPr>
          <w:b/>
        </w:rPr>
        <w:t xml:space="preserve">Продолжительность обучения</w:t>
      </w:r>
      <w:r>
        <w:t xml:space="preserve"> - 8 академических часов.  </w:t>
      </w:r>
      <w:r/>
    </w:p>
    <w:p>
      <w:pPr>
        <w:ind w:left="10" w:right="-113" w:hanging="10"/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Цель программы</w:t>
      </w:r>
      <w:r>
        <w:t xml:space="preserve"> - углубление знаний аудиторов и руководителей аудита кредитных организаций, головных кредитных организаций банковских групп, дилеров, форекс-дилеров в отношении ОСБУ, МСФО, отчетности, налогообложения и правового законодательства.</w:t>
      </w:r>
      <w:r>
        <w:rPr>
          <w:b/>
        </w:rPr>
      </w:r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Обязательные вопросы*</w:t>
      </w:r>
      <w:r>
        <w:t xml:space="preserve">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t xml:space="preserve">Общая</w:t>
      </w:r>
      <w:r>
        <w:t xml:space="preserve"> характеристика современного состояния правового регулирования предмета изучаемого акта. Причины и цели принятия изучаемого акта. Концепция изучаемого акта. Круг лиц, на которых распространяется действие изучаемого акта. Место изучаемого акта в общей систе</w:t>
      </w:r>
      <w:r>
        <w:t xml:space="preserve">ме нормативных правовых актов данной отрасли права. Содержание изучаемого акта, его новеллы в сравнении с ранее действовавшим актом в отношении того же предмета. Порядок вступления в силу изучаемого акта и переходные положения. Последствия принятия изучаем</w:t>
      </w:r>
      <w:r>
        <w:t xml:space="preserve">ого акта для аудируемых лиц и аудиторских организаций (аудиторов). Влияние принятия изучаемого акта на проведение аудита финансовой (бухгалтерской) отчетности кредитных организаций, головных кредитных организаций банковских групп, дилеров, форекс-дилеров. </w:t>
      </w:r>
      <w:r/>
    </w:p>
    <w:p>
      <w:pPr>
        <w:ind w:left="10" w:right="-113" w:hanging="10"/>
        <w:jc w:val="both"/>
      </w:pPr>
      <w:r>
        <w:t xml:space="preserve"> </w:t>
      </w:r>
      <w:r/>
    </w:p>
    <w:p>
      <w:pPr>
        <w:ind w:left="10" w:right="-113" w:hanging="10"/>
        <w:jc w:val="both"/>
      </w:pPr>
      <w:r>
        <w:t xml:space="preserve">*Текст данной программы отражает не содержание ее темы, а приводит алгоритм проведения курсов </w:t>
      </w:r>
      <w:r>
        <w:t xml:space="preserve">по вышеназванной теме, которую необходимо знать при проведении аудита. При проведении курсов повышения квалификации аудиторов должны рассматриваться все перечисленные вопросы по каждому изучаемому акту. Распределение академических часов по отдельным вопрос</w:t>
      </w:r>
      <w:r>
        <w:t xml:space="preserve">ам при обучении по настоящей программе производится образовательным учреждением, проводящим занятия по повышению квалификации аудиторов и руководителей аудита кредитных организаций, головных кредитных организаций банковских групп, дилеров, форекс-дилеров.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Результат обучения</w:t>
      </w:r>
      <w:r>
        <w:t xml:space="preserve">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t xml:space="preserve">Глубокое и детальное понимание норм правового акта, его применения в финансово-хозяйственной деятельности аудируемых лиц и при осуществлении аудита кредитных организаций, головных кредитных организаций банковских групп, дилеров, форекс-дилеров.  </w:t>
      </w:r>
      <w:r/>
    </w:p>
    <w:p>
      <w:pPr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6-4-12 «АКТУАЛЬНЫЕ ТРЕБОВАНИЯ И ЛУЧШИЕ ПРАКТИКИ АУДИТА КРЕДИТНЫХ ОРГАНИЗАЦИЙ: ПРОФЕССИОНАЛЬНЫЙ СКЕПТИЦИЗМ, ПРИМЕНЕНИЕ МСА, ДОКУМЕНТИРОВАНИЕ И СОБЛЮДЕНИЕ НОРМАТИВНЫХ ТРЕБОВАНИЙ»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Продолжительность обучения</w:t>
      </w:r>
      <w:r>
        <w:rPr>
          <w:color w:val="000000" w:themeColor="text1"/>
        </w:rPr>
        <w:t xml:space="preserve"> - 16 академических часов.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Цель программы</w:t>
      </w:r>
      <w:r>
        <w:rPr>
          <w:color w:val="000000" w:themeColor="text1"/>
        </w:rPr>
        <w:t xml:space="preserve"> - повышение эффективности выполнения заданий по аудиту финансовой отчетности кредитных организаций; актуализаци</w:t>
      </w:r>
      <w:r>
        <w:rPr>
          <w:color w:val="000000" w:themeColor="text1"/>
        </w:rPr>
        <w:t xml:space="preserve">я знаний о требованиях к независимости, Федерального закона № 115-ФЗ и требований законодательства РФ об аудиторской деятельности; повышение качества аудиторской документации при проведении аудита кредитных организаций в условиях изменения требований МСА. </w:t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1. Профессиональный скептицизм в аудите кредитных организаций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Значение скептицизма при оценке сложных финансовых инструментов и операций.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Примеры ситуаций, где недостаток скептицизма приводил к искажению выводов.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Поддержание скептического подхода на протяжении всего аудиторского задания.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2. Повышение эффективности выполнения аудиторских заданий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Рассмотрение и анализ примеров актуальных и/или нестандартных ситуаций, с которыми аудиторские группы могут столкнуться в ходе проведения аудиторских проверок.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Обсуждение каждой ситуации и предлагаемого подхода по ее урегулированию.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Основные области, которым аудитору следует уделить особое внимание в случае наличия такой ситуации.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Использование практических примеров и опыта предыдущих проверок для оптимизации процедур.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3. Применение МСА к аудиту кредитных организаций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Особенности МСА 600 в банковском секторе (групповые аудиты, взаимодействие с другими аудиторами).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Подход к аудиту оценочных значений, специфичных для банков.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Обзор стандартов, которые будут вступать в силу после 2026 года.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4. Документирование при определении оценочных значений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/>
      <w:bookmarkStart w:id="3" w:name="_Hlk208223119"/>
      <w:r>
        <w:rPr>
          <w:color w:val="000000" w:themeColor="text1"/>
        </w:rPr>
        <w:t xml:space="preserve">Важность и технология фиксации исходных данных, допущений и методов оценки.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Влияние качества документирования на итоговые выводы аудита.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/>
      <w:bookmarkStart w:id="4" w:name="_Hlk208502445"/>
      <w:r>
        <w:rPr>
          <w:color w:val="000000" w:themeColor="text1"/>
        </w:rPr>
        <w:t xml:space="preserve">Разбор практического примера документации процедур анализа отчетности с целью выявления оценочных значений. </w:t>
      </w:r>
      <w:bookmarkEnd w:id="4"/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bookmarkEnd w:id="3"/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5. Проверка раскрытия финансовой отчетности банков — эмитентов ценных бумаг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Нормативные требования и практика раскрытия информации в отчетности по МСФО. </w:t>
      </w:r>
      <w:bookmarkStart w:id="5" w:name="_Hlk208223164"/>
      <w:r>
        <w:rPr>
          <w:color w:val="000000" w:themeColor="text1"/>
        </w:rPr>
        <w:t xml:space="preserve">Методика проверки раскрытия финансовой отчетности банков — эмитентов ценных бумаг.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/>
      <w:bookmarkStart w:id="6" w:name="_Hlk208502549"/>
      <w:r>
        <w:rPr>
          <w:color w:val="000000" w:themeColor="text1"/>
        </w:rPr>
        <w:t xml:space="preserve">Разбор практических примеров различных вариантов аудиторских процедур при проверке раскрытия финансовой отчетности банков — эмитентов ценных бумаг.</w:t>
      </w:r>
      <w:bookmarkEnd w:id="5"/>
      <w:bookmarkEnd w:id="6"/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Особенности проверки информации о рисках, капитале и операциях с ценными бумагами.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6. Возможные изменения в аудиторской документации и в подходах проведения аудиторских процедур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Примеры изменений в аудиторской документации, на основе анализа актуальных вопросов, выявленных в ходе выполнения аудиторских заданий текущего года.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Изменение подхода к документированию работы в отношении нестандартных ситуаций, непрерывности деятельности, процедур планирования, выполнения и завершения аудиторских заданий.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7. Изменения в правилах независимости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Изменения в правилах независимости и их влияние на оказание услуг общественно значимым организациям.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Ключевые моменты по работе с системой контроля в работе с независимостью.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Личная независимость членов аудиторских команд при проведении аудита кредитных организаций.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8. Федеральный закон № 115-ФЗ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Аудиторские процедуры в части проверки соблюдения законодательства </w:t>
      </w:r>
      <w:r>
        <w:rPr>
          <w:color w:val="000000" w:themeColor="text1"/>
        </w:rPr>
        <w:br/>
        <w:t xml:space="preserve">о ПОД/ФТ/ФРОМУ.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9. Требование законодательства РФ об аудиторской деятельности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Практика идентификации лиц, ответственных за корпоративное управление. Последнее изменение в МСА 260.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Новая обязанность для обязательных аудитов по размещению МСФО отчетности в ГИРБО.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Практика раскрытий вознаграждений клиентов общественно значимых организаций.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Результат обучения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41"/>
        <w:numPr>
          <w:ilvl w:val="0"/>
          <w:numId w:val="173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 навыка выявления ошибок и/или признаков недобросовестных действий, оценка их влияния на результаты проверки.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3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Углубление знаний в области применения новых МСА, включая работу с оценочными значениями и групповыми аудитами.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3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Повышение эффективности выполнения аудиторских заданий за счет систематизации подходов и обмена практическим опытом.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3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Применение обновленных подходов к планированию, выполнению и завершению аудита.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3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Соблюдение измененных правил независимости при оказании услуг общественно значимым организациям, включая требования к личной независимости.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3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Выполнение аудиторских процедур в части проверки соблюдения законодательства о ПОД/ФТ/ФРОМУ в соответствии с Федеральным законом № 115-ФЗ.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3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Актуализация законодательных требований об аудиторской деятельности в РФ, в том числе новые обязанности по размещению отчетности в ГИРБО и раскрытию информации о вознаграждениях.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6-4-12/1 «АКТУАЛЬНЫЕ ТРЕБОВАНИЯ И ЛУЧШИЕ ПРАКТИКИ АУДИТА КРЕДИТНЫХ ОРГАНИЗАЦИЙ: ПРОФЕССИОНАЛЬНЫЙ СКЕПТИЦИЗМ, ПРИМЕНЕНИЕ МСА, ДОКУМЕНТИРОВАНИЕ И СОБЛЮДЕНИЕ НОРМАТИВНЫХ ТРЕБОВАНИЙ»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Продолжительность обучения</w:t>
      </w:r>
      <w:r>
        <w:rPr>
          <w:color w:val="000000" w:themeColor="text1"/>
        </w:rPr>
        <w:t xml:space="preserve"> - 12 академических часов.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Цель программы</w:t>
      </w:r>
      <w:r>
        <w:rPr>
          <w:color w:val="000000" w:themeColor="text1"/>
        </w:rPr>
        <w:t xml:space="preserve"> - повышение эффективности выполнения заданий по аудиту финансовой отчетности кредитных организаций; актуализаци</w:t>
      </w:r>
      <w:r>
        <w:rPr>
          <w:color w:val="000000" w:themeColor="text1"/>
        </w:rPr>
        <w:t xml:space="preserve">я знаний о требованиях к независимости, Федерального закона № 115-ФЗ и требований законодательства РФ об аудиторской деятельности; повышение качества аудиторской документации при проведении аудита кредитных организаций в условиях изменения требований МСА.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1. Профессиональный скептицизм в аудите кредитных организаций</w:t>
      </w:r>
      <w:r>
        <w:rPr>
          <w:b/>
          <w:bCs/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Значение скептицизма при оценке сложных финансовых инструментов и операций.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Примеры ситуаций, где недостаток скептицизма приводил к искажению выводов.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Поддержание скептического подхода на протяжении всего аудиторского задания.</w:t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2. Повышение эффективности выполнения аудиторских заданий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Анализ актуальных вопросов, возникающих в банковском аудите, и подходы к их решению.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Использование практических примеров и опыта предыдущих проверок для оптимизации процедур.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3. Применение МСА к аудиту кредитных организаций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Особенности МСА 600 в банковском секторе (групповые аудиты, взаимодействие с другими аудиторами).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Подход к аудиту оценочных значений, специфичных для банков.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Обзор стандартов, которые будут вступать в силу после 2026 года. </w:t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4. Документирование при определении оценочных значений</w:t>
      </w:r>
      <w:r>
        <w:rPr>
          <w:b/>
          <w:bCs/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Важность и технология фиксации исходных данных, допущений и методов оценки.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Влияние качества документирования на итоговые выводы аудита.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Разбор практического примера документации процедур анализа отчетности с целью выявления оценочных значений.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5. Проверка раскрытия финансовой отчетности банков — эмитентов ценных бумаг</w:t>
      </w:r>
      <w:r>
        <w:rPr>
          <w:b/>
          <w:bCs/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Нормативные требования и практика раскрытия информации в отчетности по МСФО.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Методика проверки раскрытия финансовой отчетности банков — эмитентов ценных бумаг.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Разбор практических примеров различных вариантов аудиторских процедур при проверке раскрытия финансовой отчетности банков — эмитентов ценных бумаг.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Особенности проверки информации о рисках, капитале и операциях с ценными бумагами.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6. Возможные изменения в аудиторской документации и в подходах проведения аудиторских процедур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Примеры изменений в аудиторской документации, на основе анализа актуальных вопросов, выявленных в ходе выполнения аудиторских заданий текущего года.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Изменение подхода к документированию работы в отношении нестандартных ситуаций, непрерывности деятельности, процедур планирования, выполнения и завершения аудиторских заданий.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7. Изменения в правилах независимости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Изменения в правилах независимости и их влияние на оказание услуг общественно значимым организациям.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Ключевые моменты по работе с системой контроля в работе с независимостью.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Личная независимость членов аудиторских команд при проведении аудита кредитных организаций.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8. Федеральный закон № 115-ФЗ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Аудиторские процедуры в части проверки соблюдения законодательства </w:t>
      </w:r>
      <w:r>
        <w:rPr>
          <w:color w:val="000000" w:themeColor="text1"/>
        </w:rPr>
        <w:br/>
        <w:t xml:space="preserve">о ПОД/ФТ/ФРОМУ.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Тема 9. Требование законодательства РФ об аудиторской деятельности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Практика идентификации лиц, ответственных за корпоративное управление. Последнее изменение в МСА 260.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Новая обязанность для обязательных аудитов по размещению МСФО отчетности в ГИРБО.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Практика раскрытий вознаграждений клиентов общественно значимых организаций. </w:t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Результат обучения</w:t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41"/>
        <w:numPr>
          <w:ilvl w:val="0"/>
          <w:numId w:val="174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 навыка выявления ошибок и/или признаков недобросовестных действий, оценка их влияния на результаты проверки.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4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Углубление знаний в области применения новых МСА, включая работу с оценочными значениями и групповыми аудитами.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4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Повышение эффективности выполнения аудиторских заданий за счет систематизации подходов и обмена практическим опытом.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4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Применение обновленных подходов к планированию, выполнению и завершению аудита.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4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Соблюдение измененных правил независимости при оказании услуг общественно значимым организациям, включая требования к личной независимости.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4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Выполнение аудиторских процедур в части проверки соблюдения законодательства о ПОД/ФТ/ФРОМУ в соответствии с Федеральным законом № 115-ФЗ.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numPr>
          <w:ilvl w:val="0"/>
          <w:numId w:val="174"/>
        </w:numPr>
        <w:spacing w:after="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Актуализация законодательных требований об аудиторской деятельности в РФ, в том числе новые обязанности по размещению отчетности в ГИРБО и раскрытию информации о вознаграждениях.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141"/>
        <w:spacing w:after="0" w:line="259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1141"/>
        <w:spacing w:after="0" w:line="259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jc w:val="center"/>
        <w:rPr>
          <w:b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Раздел 5. </w:t>
      </w:r>
      <w:r>
        <w:rPr>
          <w:b/>
          <w:sz w:val="28"/>
          <w:szCs w:val="28"/>
          <w:u w:val="single"/>
        </w:rPr>
        <w:t xml:space="preserve">Программы повышения квалификации по тематике экономической деятельности: страховые организации, общества взаимного страхования,</w:t>
      </w:r>
      <w:r>
        <w:rPr>
          <w:b/>
          <w:sz w:val="28"/>
          <w:szCs w:val="28"/>
          <w:u w:val="single"/>
        </w:rPr>
      </w:r>
    </w:p>
    <w:p>
      <w:pPr>
        <w:ind w:right="-113"/>
        <w:jc w:val="center"/>
        <w:rPr>
          <w:b/>
          <w:bCs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негосударственные пенсионные фонды</w:t>
      </w:r>
      <w:r>
        <w:rPr>
          <w:b/>
          <w:bCs/>
          <w:sz w:val="28"/>
          <w:szCs w:val="28"/>
          <w:u w:val="single"/>
        </w:rPr>
      </w:r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6-5-01 «ПРАКТИКА ПРИМЕНЕНИЯ МСА: ФОРМИРОВАНИЕ АУДИТОРСКОГО ЗАКЛЮЧЕНИЯ СТРАХОВЫХ ОРГАНИЗАЦИЙ»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shd w:val="clear" w:color="auto" w:fill="ffffff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4 академических часа.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shd w:val="clear" w:color="auto" w:fill="ffffff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– углубление знаний аудиторов и руководителей аудита общественно значимых организаций, желающих специализироваться на аудите страховых организаций, в части страхового законодательства, особенностей деятельности страховых организаций.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lang w:eastAsia="en-US"/>
        </w:rPr>
        <w:t xml:space="preserve">Тема 1. Особенности аудита страховых организаций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28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Анализ эффективности работы системы внутреннего контроля страховой организации.</w:t>
      </w:r>
      <w:r>
        <w:rPr>
          <w:rFonts w:eastAsia="Calibri"/>
          <w:lang w:eastAsia="en-US"/>
        </w:rPr>
      </w:r>
    </w:p>
    <w:p>
      <w:pPr>
        <w:numPr>
          <w:ilvl w:val="0"/>
          <w:numId w:val="28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Анализ </w:t>
      </w:r>
      <w:r>
        <w:rPr>
          <w:lang w:eastAsia="en-US"/>
        </w:rPr>
        <w:t xml:space="preserve">обеспечения службой внутреннего аудита надлежащего уровня надежности внутреннего контроля, оценки его эффективности и проверки соответствия деятельности страховщика законодательству.</w:t>
      </w:r>
      <w:r>
        <w:rPr>
          <w:rFonts w:eastAsia="Calibri"/>
          <w:lang w:eastAsia="en-US"/>
        </w:rPr>
      </w:r>
    </w:p>
    <w:p>
      <w:pPr>
        <w:numPr>
          <w:ilvl w:val="0"/>
          <w:numId w:val="2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Анализ заключения актуария.</w:t>
      </w:r>
      <w:r>
        <w:rPr>
          <w:rFonts w:eastAsia="Calibri"/>
          <w:lang w:eastAsia="en-US"/>
        </w:rPr>
      </w:r>
    </w:p>
    <w:p>
      <w:pPr>
        <w:numPr>
          <w:ilvl w:val="0"/>
          <w:numId w:val="2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События после отчетной даты, в том числе договора передачи страхового портфеля.</w:t>
      </w:r>
      <w:r>
        <w:rPr>
          <w:rFonts w:eastAsia="Calibri"/>
          <w:lang w:eastAsia="en-US"/>
        </w:rPr>
      </w:r>
    </w:p>
    <w:p>
      <w:pPr>
        <w:numPr>
          <w:ilvl w:val="0"/>
          <w:numId w:val="2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Комплект отчетности страховой организации, подлежащий аудиту.</w:t>
      </w:r>
      <w:r>
        <w:rPr>
          <w:rFonts w:eastAsia="Calibri"/>
          <w:lang w:eastAsia="en-US"/>
        </w:rPr>
      </w:r>
    </w:p>
    <w:p>
      <w:pPr>
        <w:numPr>
          <w:ilvl w:val="0"/>
          <w:numId w:val="29"/>
        </w:numPr>
        <w:contextualSpacing/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Анализ состава отчетности, подлежащий аудиту, установленной законодательными и подзаконными актами.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9"/>
        </w:numPr>
        <w:contextualSpacing/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Наличие/отсутствие обязанности аудитора по проведению дополнительных процедур в отношении отчетности, подлежащей аудиту. 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9"/>
        </w:numPr>
        <w:contextualSpacing/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Выполнение обязанностей аудитора, установленных Законом РФ «Об организации страхового дела в Российской Федерации».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9"/>
        </w:numPr>
        <w:contextualSpacing/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Аудиторские процедуры в отношении исполнения обязанностей страховой организации ПОД</w:t>
      </w:r>
      <w:r>
        <w:rPr>
          <w:rFonts w:eastAsia="Calibri"/>
          <w:lang w:eastAsia="en-US"/>
        </w:rPr>
        <w:t xml:space="preserve">/ФТ/ФРОМУ Аудиторские процедуры в отношении обязанностей страховой организации по соблюдению требований финансовой устойчивости, платежеспособности, наличия активов надлежащего качества в обеспечение собственных средств и страховых резервов (обязательств).</w:t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</w:t>
      </w:r>
      <w:r>
        <w:rPr>
          <w:rFonts w:eastAsia="Calibri"/>
          <w:b/>
          <w:bCs/>
          <w:lang w:eastAsia="en-US"/>
        </w:rPr>
        <w:t xml:space="preserve">Формирование мнения о бухгалтерской (финансовой) отчетности и аудиторского заключения о ней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Ключевые вопросы аудита.</w:t>
      </w:r>
      <w:r>
        <w:rPr>
          <w:rFonts w:eastAsia="Calibri"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Оценка искажений, выявленных в ходе аудита страховых организаций;</w:t>
      </w:r>
      <w:r>
        <w:rPr>
          <w:rFonts w:eastAsia="Calibri"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Типовые вопросы и нарушения при составлении аудиторских заключений страховых организаций.</w:t>
      </w:r>
      <w:r>
        <w:rPr>
          <w:rFonts w:eastAsia="Calibri"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Немодифицированное</w:t>
      </w:r>
      <w:r>
        <w:rPr>
          <w:rFonts w:eastAsia="Calibri"/>
          <w:lang w:eastAsia="en-US"/>
        </w:rPr>
        <w:t xml:space="preserve"> и модифицированное мнение в аудиторском заключении о БФО страховой организации.</w:t>
      </w:r>
      <w:r>
        <w:rPr>
          <w:rFonts w:eastAsia="Calibri"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strike/>
          <w:lang w:eastAsia="en-US"/>
        </w:rPr>
      </w:pPr>
      <w:r>
        <w:rPr>
          <w:rFonts w:eastAsia="Calibri"/>
          <w:lang w:eastAsia="en-US"/>
        </w:rPr>
        <w:t xml:space="preserve">Дополнительны</w:t>
      </w:r>
      <w:r>
        <w:rPr>
          <w:rFonts w:eastAsia="Calibri"/>
          <w:lang w:eastAsia="en-US"/>
        </w:rPr>
        <w:t xml:space="preserve">е обязательные разделы аудиторского заключения о годовой бухгалтерской (финансовой) отчетности страховой организации, касающиеся выполнения требований к финансовой устойчивости и платежеспособности, и эффективности организации системы внутреннего контроля.</w:t>
      </w:r>
      <w:r>
        <w:rPr>
          <w:rFonts w:eastAsia="Calibri"/>
          <w:strike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Разделы «Существенная неопределенность в отношении непрерывности деятельности», "Важные обстоятельства" и "Прочие сведения" в аудиторском заключении страховых организаций.</w:t>
      </w:r>
      <w:r>
        <w:rPr>
          <w:rFonts w:eastAsia="Calibri"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shd w:val="clear" w:color="auto" w:fill="ffffff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Обязанности аудитора, относящиеся к прочей информации, включенной в годовой отчет страховой организации.</w:t>
      </w:r>
      <w:r>
        <w:rPr>
          <w:rFonts w:eastAsia="Calibri"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Информирование лиц, отвечающих за корпоративное управление в страховых организациях, о значимых выводах в результате аудита и о недостатках внутреннего контроля.</w:t>
      </w:r>
      <w:r>
        <w:rPr>
          <w:rFonts w:eastAsia="Calibri"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Информирование о ключевых вопросах аудита в аудиторском заключении.</w:t>
      </w:r>
      <w:r>
        <w:rPr>
          <w:rFonts w:eastAsia="Calibri"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Доп</w:t>
      </w:r>
      <w:r>
        <w:rPr>
          <w:rFonts w:eastAsia="Calibri"/>
          <w:lang w:eastAsia="en-US"/>
        </w:rPr>
        <w:t xml:space="preserve">олнительные требования 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законами.</w:t>
      </w:r>
      <w:r>
        <w:rPr>
          <w:rFonts w:eastAsia="Calibri"/>
          <w:lang w:eastAsia="en-US"/>
        </w:rPr>
      </w:r>
    </w:p>
    <w:p>
      <w:pPr>
        <w:numPr>
          <w:ilvl w:val="0"/>
          <w:numId w:val="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Право Банка России на обжалование аудиторского заключения. Решение Банка России о признании аудиторского заключения ненадлежащим в обстоятельствах согласно стандартам аудиторской деятельности.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Глубокое и детальное понимание особенностей аудита бухгалтерской (финансовой) отчетности страховых организаций.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6-5-02 «АКТУАЛЬНЫЕ ВОПРОСЫ ПРИМЕНЕНИЯ ОТРАСЛЕВОГО СТАНДАРТА БУХГАЛТЕРСКОГО УЧЕТА «ПОРЯДОК СОСТАВЛЕНИЯ БУХГАЛТЕРСКОЙ (ФИНАНСОВОЙ) ОТЧЕТНОСТИ СТРАХОВЫХ ОРГАНИЗАЦИЙ И ОБЩЕСТВ ВЗАИМНОГО СТРАХОВАНИЯ»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16 академических часов.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- углубление знаний аудиторов и руководителей аудита общественно значимых организаций в части составления бухгалтерской (финансовой) отчетности в соответствии с требованиями Банка России.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Общие положения. </w:t>
      </w:r>
      <w:r>
        <w:rPr>
          <w:rFonts w:eastAsia="Calibri"/>
          <w:b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Применимое законодательство и стандарты для целей ведения бухгалтерского учета в страховых организациях и обществах взаимного страхования (</w:t>
      </w:r>
      <w:hyperlink r:id="rId43" w:tooltip="https://login.consultant.ru/link/?req=doc&amp;demo=2&amp;base=LAW&amp;n=384809&amp;date=26.06.2022" w:history="1">
        <w:r>
          <w:rPr>
            <w:rFonts w:eastAsia="Calibri"/>
            <w:lang w:eastAsia="en-US"/>
          </w:rPr>
          <w:t xml:space="preserve">МСФО (IFRS) 17</w:t>
        </w:r>
      </w:hyperlink>
      <w:r>
        <w:rPr>
          <w:rFonts w:eastAsia="Calibri"/>
          <w:lang w:eastAsia="en-US"/>
        </w:rPr>
        <w:t xml:space="preserve"> «Договоры страхования»).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Требования к бухгалтерскому учету операций по страхованию, </w:t>
      </w:r>
      <w:r>
        <w:rPr>
          <w:rFonts w:eastAsia="Calibri"/>
          <w:lang w:eastAsia="en-US"/>
        </w:rPr>
        <w:t xml:space="preserve">сострахованию</w:t>
      </w:r>
      <w:r>
        <w:rPr>
          <w:rFonts w:eastAsia="Calibri"/>
          <w:lang w:eastAsia="en-US"/>
        </w:rPr>
        <w:t xml:space="preserve">, перестрахованию и взаимному страхованию (включая особенности применения плана счетов бухгалтерского учета). Учетная политика страховой организации.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Договоры страхования.</w:t>
      </w:r>
      <w:r>
        <w:rPr>
          <w:lang w:eastAsia="en-US"/>
        </w:rPr>
        <w:t xml:space="preserve"> Уровень агрегирования договоров страхования</w:t>
      </w:r>
      <w:r>
        <w:rPr>
          <w:rFonts w:eastAsia="Calibri"/>
          <w:bCs/>
          <w:lang w:eastAsia="en-US"/>
        </w:rPr>
        <w:t xml:space="preserve"> Первоначальное признание.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Формирование страхового обязательства.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Аквизиционные</w:t>
      </w:r>
      <w:r>
        <w:rPr>
          <w:rFonts w:eastAsia="Calibri"/>
          <w:bCs/>
          <w:lang w:eastAsia="en-US"/>
        </w:rPr>
        <w:t xml:space="preserve"> денежные потоки.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Оценка при первоначальном признании. Расчетная оценка будущих денежных потоков и </w:t>
      </w:r>
      <w:r>
        <w:rPr>
          <w:rFonts w:eastAsia="Calibri"/>
          <w:lang w:eastAsia="en-US"/>
        </w:rPr>
        <w:t xml:space="preserve">с</w:t>
      </w:r>
      <w:r>
        <w:rPr>
          <w:rFonts w:eastAsia="Calibri"/>
          <w:bCs/>
          <w:lang w:eastAsia="en-US"/>
        </w:rPr>
        <w:t xml:space="preserve">тавки дисконтирования. 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Маржа за предусмотренные договором услуги, как </w:t>
      </w:r>
      <w:r>
        <w:rPr>
          <w:rFonts w:eastAsia="Calibri"/>
          <w:lang w:eastAsia="en-US"/>
        </w:rPr>
        <w:t xml:space="preserve">компонент актива или обязательства по группе договоров страхования. </w:t>
      </w:r>
      <w:r>
        <w:rPr>
          <w:rFonts w:eastAsia="Calibri"/>
          <w:bCs/>
          <w:lang w:eastAsia="en-US"/>
        </w:rPr>
        <w:t xml:space="preserve">Последующая оценка.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Маржа за предусмотренные договором услуги, как прибыль на конец отчетного периода.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Подход на основе распределения премии.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 Обременительные договоры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Подход на основе распределения премии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Удерживаемые договоры перестрахования: признание, оценка.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Подход на основе распределения премии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Инвестиционные договоры с условиями дискреционного участия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Модификация договора страхования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Прекращение признания</w:t>
      </w:r>
      <w:r>
        <w:rPr>
          <w:rFonts w:eastAsia="Calibri"/>
          <w:lang w:eastAsia="en-US"/>
        </w:rPr>
        <w:t xml:space="preserve"> договора страхования.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Требования к бухгалтерскому учету операций по страхованию, </w:t>
      </w:r>
      <w:r>
        <w:rPr>
          <w:rFonts w:eastAsia="Calibri"/>
          <w:lang w:eastAsia="en-US"/>
        </w:rPr>
        <w:t xml:space="preserve">сострахованию</w:t>
      </w:r>
      <w:r>
        <w:rPr>
          <w:rFonts w:eastAsia="Calibri"/>
          <w:lang w:eastAsia="en-US"/>
        </w:rPr>
        <w:t xml:space="preserve">, перестрахованию и взаимному страхованию (включая особенности применения плана счетов бухгалтерского учета).</w:t>
      </w:r>
      <w:r>
        <w:rPr>
          <w:rFonts w:eastAsia="Calibri"/>
          <w:lang w:eastAsia="en-US"/>
        </w:rPr>
      </w:r>
    </w:p>
    <w:p>
      <w:pPr>
        <w:numPr>
          <w:ilvl w:val="1"/>
          <w:numId w:val="119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формирования информации, раскрываемой в бухгалтерской (финансовой) отчетности </w:t>
      </w:r>
      <w:r>
        <w:rPr>
          <w:rFonts w:eastAsia="Calibri"/>
          <w:iCs/>
          <w:lang w:eastAsia="en-US"/>
        </w:rPr>
        <w:t xml:space="preserve">страховых организаций и обществ взаимного страхования</w:t>
      </w:r>
      <w:r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strike/>
          <w:lang w:eastAsia="en-US"/>
        </w:rPr>
      </w:pPr>
      <w:r>
        <w:rPr>
          <w:rFonts w:eastAsia="Calibri"/>
          <w:b/>
          <w:lang w:eastAsia="en-US"/>
        </w:rPr>
        <w:t xml:space="preserve">Тема 2. </w:t>
      </w:r>
      <w:r>
        <w:rPr>
          <w:rFonts w:eastAsia="Calibri"/>
          <w:b/>
          <w:iCs/>
          <w:lang w:eastAsia="en-US"/>
        </w:rPr>
        <w:t xml:space="preserve">Состав бухгалтерской (финансовой) отчетности страховых организаций </w:t>
      </w:r>
      <w:r>
        <w:rPr>
          <w:rFonts w:eastAsia="Calibri"/>
          <w:b/>
          <w:strike/>
          <w:lang w:eastAsia="en-US"/>
        </w:rPr>
      </w:r>
    </w:p>
    <w:p>
      <w:pPr>
        <w:ind w:firstLine="709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2.1. Бухгалтерский баланс страховой организации.</w:t>
      </w:r>
      <w:r>
        <w:rPr>
          <w:rFonts w:eastAsia="Calibri"/>
          <w:lang w:eastAsia="en-US"/>
        </w:rPr>
      </w:r>
    </w:p>
    <w:p>
      <w:pPr>
        <w:ind w:firstLine="70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Активы, в т. ч.:</w:t>
      </w:r>
      <w:r>
        <w:rPr>
          <w:rFonts w:eastAsia="Calibri"/>
          <w:lang w:eastAsia="en-US"/>
        </w:rPr>
      </w:r>
    </w:p>
    <w:p>
      <w:pPr>
        <w:numPr>
          <w:ilvl w:val="0"/>
          <w:numId w:val="12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активы, оцениваемые по справедливой стоимости через прибыль или убыток;</w:t>
      </w:r>
      <w:r>
        <w:rPr>
          <w:rFonts w:eastAsia="Calibri"/>
          <w:lang w:eastAsia="en-US"/>
        </w:rPr>
      </w:r>
    </w:p>
    <w:p>
      <w:pPr>
        <w:numPr>
          <w:ilvl w:val="0"/>
          <w:numId w:val="12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активы, оцениваемые по справедливой стоимости через прочий совокупный доход; </w:t>
      </w:r>
      <w:r>
        <w:rPr>
          <w:rFonts w:eastAsia="Calibri"/>
          <w:lang w:eastAsia="en-US"/>
        </w:rPr>
      </w:r>
    </w:p>
    <w:p>
      <w:pPr>
        <w:numPr>
          <w:ilvl w:val="0"/>
          <w:numId w:val="12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активы, оцениваемые по амортизированной стоимости; </w:t>
      </w:r>
      <w:r>
        <w:rPr>
          <w:rFonts w:eastAsia="Calibri"/>
          <w:lang w:eastAsia="en-US"/>
        </w:rPr>
      </w:r>
    </w:p>
    <w:p>
      <w:pPr>
        <w:numPr>
          <w:ilvl w:val="0"/>
          <w:numId w:val="12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Активы по портфелям договоров страхования и выпущенных (принятых) договоров перестрахования, учитываемых на счетах бухгалтерского учета в соответствии с требованиями </w:t>
      </w:r>
      <w:hyperlink r:id="rId44" w:tooltip="https://login.consultant.ru/link/?req=doc&amp;demo=2&amp;base=LAW&amp;n=384809&amp;date=26.06.2022" w:history="1">
        <w:r>
          <w:rPr>
            <w:rFonts w:eastAsia="Calibri"/>
            <w:lang w:eastAsia="en-US"/>
          </w:rPr>
          <w:t xml:space="preserve">МСФО (IFRS) 17</w:t>
        </w:r>
      </w:hyperlink>
      <w:r>
        <w:rPr>
          <w:rFonts w:eastAsia="Calibri"/>
          <w:lang w:eastAsia="en-US"/>
        </w:rPr>
        <w:t xml:space="preserve">; </w:t>
      </w:r>
      <w:r>
        <w:rPr>
          <w:rFonts w:eastAsia="Calibri"/>
          <w:lang w:eastAsia="en-US"/>
        </w:rPr>
      </w:r>
    </w:p>
    <w:p>
      <w:pPr>
        <w:numPr>
          <w:ilvl w:val="0"/>
          <w:numId w:val="12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Активы по портфелям удерживаемых (переданных) договоров перестрахования, учитываемых на счетах бухгалтерского учета в соответствии с требованиями </w:t>
      </w:r>
      <w:hyperlink r:id="rId45" w:tooltip="https://login.consultant.ru/link/?req=doc&amp;demo=2&amp;base=LAW&amp;n=384809&amp;date=26.06.2022" w:history="1">
        <w:r>
          <w:rPr>
            <w:rFonts w:eastAsia="Calibri"/>
            <w:lang w:eastAsia="en-US"/>
          </w:rPr>
          <w:t xml:space="preserve">МСФО (IFRS) 17</w:t>
        </w:r>
      </w:hyperlink>
      <w:r>
        <w:rPr>
          <w:rFonts w:eastAsia="Calibri"/>
          <w:lang w:eastAsia="en-US"/>
        </w:rPr>
        <w:t xml:space="preserve"> ;</w:t>
      </w:r>
      <w:r>
        <w:rPr>
          <w:rFonts w:eastAsia="Calibri"/>
          <w:lang w:eastAsia="en-US"/>
        </w:rPr>
      </w:r>
    </w:p>
    <w:p>
      <w:pPr>
        <w:numPr>
          <w:ilvl w:val="0"/>
          <w:numId w:val="120"/>
        </w:numPr>
        <w:contextualSpacing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Активы (активы выбывающих групп), классифицированные как предназначенные для продажи;</w:t>
      </w:r>
      <w:r>
        <w:rPr>
          <w:rFonts w:eastAsia="Calibri"/>
          <w:lang w:eastAsia="en-US"/>
        </w:rPr>
      </w:r>
    </w:p>
    <w:p>
      <w:pPr>
        <w:contextualSpacing/>
        <w:ind w:left="1068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Обязательства, в т.ч.:</w:t>
      </w:r>
      <w:r>
        <w:rPr>
          <w:rFonts w:eastAsia="Calibri"/>
          <w:lang w:eastAsia="en-US"/>
        </w:rPr>
      </w:r>
    </w:p>
    <w:p>
      <w:pPr>
        <w:numPr>
          <w:ilvl w:val="0"/>
          <w:numId w:val="12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обязательства, оцениваемые по справедливой стоимости через прибыль или убыток </w:t>
      </w:r>
      <w:r>
        <w:rPr>
          <w:rFonts w:eastAsia="Calibri"/>
          <w:lang w:eastAsia="en-US"/>
        </w:rPr>
      </w:r>
    </w:p>
    <w:p>
      <w:pPr>
        <w:numPr>
          <w:ilvl w:val="0"/>
          <w:numId w:val="12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обязательства, оцениваемые по амортизированной стоимости </w:t>
      </w:r>
      <w:r>
        <w:rPr>
          <w:rFonts w:eastAsia="Calibri"/>
          <w:lang w:eastAsia="en-US"/>
        </w:rPr>
      </w:r>
    </w:p>
    <w:p>
      <w:pPr>
        <w:numPr>
          <w:ilvl w:val="0"/>
          <w:numId w:val="12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Обязательства по портфелям договоров страхования и выпущенных (принятых) договоров перестрахования, учитываемых на счетах бухгалтерского учета в соответствии с требованиями </w:t>
      </w:r>
      <w:hyperlink r:id="rId46" w:tooltip="https://login.consultant.ru/link/?req=doc&amp;demo=2&amp;base=LAW&amp;n=384809&amp;date=26.06.2022" w:history="1">
        <w:r>
          <w:rPr>
            <w:rFonts w:eastAsia="Calibri"/>
            <w:lang w:eastAsia="en-US"/>
          </w:rPr>
          <w:t xml:space="preserve">МСФО (IFRS) 17</w:t>
        </w:r>
      </w:hyperlink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</w:r>
    </w:p>
    <w:p>
      <w:pPr>
        <w:numPr>
          <w:ilvl w:val="0"/>
          <w:numId w:val="12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Обязательства по портфелям удерживаемых (переданных) договоров перестрахования, учитываемых на счетах бухгалтерского учета в соответствии с требованиями </w:t>
      </w:r>
      <w:hyperlink r:id="rId47" w:tooltip="https://login.consultant.ru/link/?req=doc&amp;demo=2&amp;base=LAW&amp;n=384809&amp;date=26.06.2022" w:history="1">
        <w:r>
          <w:rPr>
            <w:rFonts w:eastAsia="Calibri"/>
            <w:lang w:eastAsia="en-US"/>
          </w:rPr>
          <w:t xml:space="preserve">МСФО (IFRS) 17</w:t>
        </w:r>
      </w:hyperlink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</w:r>
    </w:p>
    <w:p>
      <w:pPr>
        <w:ind w:firstLine="70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Капитал. Соблюдение требований к капиталу страховых организаций</w:t>
      </w:r>
      <w:r>
        <w:rPr>
          <w:rFonts w:eastAsia="Calibri"/>
          <w:lang w:eastAsia="en-US"/>
        </w:rPr>
      </w:r>
    </w:p>
    <w:p>
      <w:pPr>
        <w:ind w:firstLine="709"/>
        <w:jc w:val="both"/>
        <w:spacing w:after="160" w:line="259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2.2. Отчет о финансовых результатах страховой организации</w:t>
      </w:r>
      <w:r>
        <w:rPr>
          <w:rFonts w:eastAsia="Calibri"/>
          <w:lang w:eastAsia="en-US"/>
        </w:rPr>
      </w:r>
    </w:p>
    <w:p>
      <w:pPr>
        <w:ind w:left="708" w:firstLine="12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Деятельность по страхованию и перестрахованию, в т.ч. </w:t>
      </w:r>
      <w:r>
        <w:rPr>
          <w:rFonts w:eastAsia="Calibri"/>
          <w:lang w:eastAsia="en-US"/>
        </w:rPr>
      </w:r>
    </w:p>
    <w:p>
      <w:pPr>
        <w:numPr>
          <w:ilvl w:val="0"/>
          <w:numId w:val="12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Выручка и расходы по страхованию по группам договоров страхования и выпущенных (принятых) договоров перестрахования; </w:t>
      </w:r>
      <w:r>
        <w:rPr>
          <w:rFonts w:eastAsia="Calibri"/>
          <w:lang w:eastAsia="en-US"/>
        </w:rPr>
      </w:r>
    </w:p>
    <w:p>
      <w:pPr>
        <w:numPr>
          <w:ilvl w:val="0"/>
          <w:numId w:val="12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Убытки и восстановление убытков от обесценения активов, признанных в отношении </w:t>
      </w:r>
      <w:r>
        <w:rPr>
          <w:rFonts w:eastAsia="Calibri"/>
          <w:lang w:eastAsia="en-US"/>
        </w:rPr>
        <w:t xml:space="preserve">аквизиционных</w:t>
      </w:r>
      <w:r>
        <w:rPr>
          <w:rFonts w:eastAsia="Calibri"/>
          <w:lang w:eastAsia="en-US"/>
        </w:rPr>
        <w:t xml:space="preserve"> денежных потоков; </w:t>
      </w:r>
      <w:r>
        <w:rPr>
          <w:rFonts w:eastAsia="Calibri"/>
          <w:lang w:eastAsia="en-US"/>
        </w:rPr>
      </w:r>
    </w:p>
    <w:p>
      <w:pPr>
        <w:numPr>
          <w:ilvl w:val="0"/>
          <w:numId w:val="12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Доходы (расходы), возникающие в связи с удерживаемыми (переданными) договорами перестрахования; </w:t>
      </w:r>
      <w:r>
        <w:rPr>
          <w:rFonts w:eastAsia="Calibri"/>
          <w:lang w:eastAsia="en-US"/>
        </w:rPr>
      </w:r>
    </w:p>
    <w:p>
      <w:pPr>
        <w:contextualSpacing/>
        <w:ind w:left="106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Инвестиционная и финансовая деятельность, в т.ч. </w:t>
      </w:r>
      <w:r>
        <w:rPr>
          <w:rFonts w:eastAsia="Calibri"/>
          <w:lang w:eastAsia="en-US"/>
        </w:rPr>
      </w:r>
    </w:p>
    <w:p>
      <w:pPr>
        <w:numPr>
          <w:ilvl w:val="0"/>
          <w:numId w:val="12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Процентные доходы и процентные расходы;</w:t>
      </w:r>
      <w:r>
        <w:rPr>
          <w:rFonts w:eastAsia="Calibri"/>
          <w:lang w:eastAsia="en-US"/>
        </w:rPr>
      </w:r>
    </w:p>
    <w:p>
      <w:pPr>
        <w:numPr>
          <w:ilvl w:val="0"/>
          <w:numId w:val="12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Доходы за вычетом расходов (расходы за вычетом доходов) от операций с финансовыми инструментами;</w:t>
      </w:r>
      <w:r>
        <w:rPr>
          <w:rFonts w:eastAsia="Calibri"/>
          <w:lang w:eastAsia="en-US"/>
        </w:rPr>
      </w:r>
    </w:p>
    <w:p>
      <w:pPr>
        <w:numPr>
          <w:ilvl w:val="0"/>
          <w:numId w:val="12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Доходы за вычетом расходов (расходы за вычетом доходов) по восстановлению (созданию) оценочных резервов под ожидаемые кредитные убытки по долговым инструментам;</w:t>
      </w:r>
      <w:r>
        <w:rPr>
          <w:rFonts w:eastAsia="Calibri"/>
          <w:lang w:eastAsia="en-US"/>
        </w:rPr>
      </w:r>
    </w:p>
    <w:p>
      <w:pPr>
        <w:numPr>
          <w:ilvl w:val="0"/>
          <w:numId w:val="12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доходы (расходы) по страхованию по группам договоров страхования и выпущенных (принятых) договоров перестрахования; </w:t>
      </w:r>
      <w:r>
        <w:rPr>
          <w:rFonts w:eastAsia="Calibri"/>
          <w:lang w:eastAsia="en-US"/>
        </w:rPr>
      </w:r>
    </w:p>
    <w:p>
      <w:pPr>
        <w:numPr>
          <w:ilvl w:val="0"/>
          <w:numId w:val="12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доходы (расходы) по страхованию по группам удерживаемых (переданных) договоров перестрахования;</w:t>
      </w:r>
      <w:r>
        <w:rPr>
          <w:rFonts w:eastAsia="Calibri"/>
          <w:lang w:eastAsia="en-US"/>
        </w:rPr>
      </w:r>
    </w:p>
    <w:p>
      <w:pPr>
        <w:numPr>
          <w:ilvl w:val="0"/>
          <w:numId w:val="123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Прочие операционные доходы и расходы </w:t>
      </w:r>
      <w:r>
        <w:rPr>
          <w:rFonts w:eastAsia="Calibri"/>
          <w:lang w:eastAsia="en-US"/>
        </w:rPr>
      </w:r>
    </w:p>
    <w:p>
      <w:pPr>
        <w:ind w:firstLine="708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8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Прочий совокупный доход </w:t>
      </w:r>
      <w:r>
        <w:rPr>
          <w:rFonts w:eastAsia="Calibri"/>
          <w:lang w:eastAsia="en-US"/>
        </w:rPr>
      </w:r>
    </w:p>
    <w:p>
      <w:pPr>
        <w:ind w:firstLine="708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709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2.3. Приложения к бухгалтерскому балансу и отчету о финансовых результатах и примечания к отчетности страховых организаций</w:t>
      </w:r>
      <w:r>
        <w:rPr>
          <w:rFonts w:eastAsia="Calibri"/>
          <w:lang w:eastAsia="en-US"/>
        </w:rPr>
      </w:r>
    </w:p>
    <w:p>
      <w:pPr>
        <w:ind w:firstLine="709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Составление отчета об изменениях капитала страховщика.</w:t>
      </w:r>
      <w:r>
        <w:rPr>
          <w:rFonts w:eastAsia="Calibri"/>
          <w:lang w:eastAsia="en-US"/>
        </w:rPr>
      </w:r>
    </w:p>
    <w:p>
      <w:pPr>
        <w:numPr>
          <w:ilvl w:val="0"/>
          <w:numId w:val="128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Составление отчета о потоках денежных средств страховщика.</w:t>
      </w:r>
      <w:r>
        <w:rPr>
          <w:rFonts w:eastAsia="Calibri"/>
          <w:lang w:eastAsia="en-US"/>
        </w:rPr>
      </w:r>
    </w:p>
    <w:p>
      <w:pPr>
        <w:numPr>
          <w:ilvl w:val="0"/>
          <w:numId w:val="128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Примечания к бухгалтерской (финансовой) отчетности страховщика.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strike/>
          <w:lang w:eastAsia="en-US"/>
        </w:rPr>
      </w:pPr>
      <w:r>
        <w:rPr>
          <w:rFonts w:eastAsia="Calibri"/>
          <w:b/>
          <w:lang w:eastAsia="en-US"/>
        </w:rPr>
        <w:t xml:space="preserve">Тема 3. </w:t>
      </w:r>
      <w:r>
        <w:rPr>
          <w:rFonts w:eastAsia="Calibri"/>
          <w:b/>
          <w:iCs/>
          <w:lang w:eastAsia="en-US"/>
        </w:rPr>
        <w:t xml:space="preserve">Состав бухгалтерской отчетности </w:t>
      </w:r>
      <w:r>
        <w:rPr>
          <w:rFonts w:eastAsia="Calibri"/>
          <w:b/>
          <w:lang w:eastAsia="en-US"/>
        </w:rPr>
        <w:t xml:space="preserve">общества взаимного страхования</w:t>
      </w:r>
      <w:r>
        <w:rPr>
          <w:rFonts w:eastAsia="Calibri"/>
          <w:b/>
          <w:strike/>
          <w:lang w:eastAsia="en-US"/>
        </w:rPr>
      </w:r>
    </w:p>
    <w:p>
      <w:pPr>
        <w:ind w:firstLine="70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3.1.  Бухгалтерский баланс общества взаимного страхования</w:t>
      </w:r>
      <w:r>
        <w:rPr>
          <w:rFonts w:eastAsia="Calibri"/>
          <w:lang w:eastAsia="en-US"/>
        </w:rPr>
      </w:r>
    </w:p>
    <w:p>
      <w:pPr>
        <w:ind w:firstLine="70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Активы, в т.ч.:  </w:t>
      </w:r>
      <w:r>
        <w:rPr>
          <w:rFonts w:eastAsia="Calibri"/>
          <w:lang w:eastAsia="en-US"/>
        </w:rPr>
      </w:r>
    </w:p>
    <w:p>
      <w:pPr>
        <w:numPr>
          <w:ilvl w:val="0"/>
          <w:numId w:val="124"/>
        </w:numPr>
        <w:contextualSpacing/>
        <w:jc w:val="both"/>
        <w:spacing w:after="160" w:line="259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активы; </w:t>
      </w:r>
      <w:r>
        <w:rPr>
          <w:rFonts w:eastAsia="Calibri"/>
          <w:lang w:eastAsia="en-US"/>
        </w:rPr>
      </w:r>
    </w:p>
    <w:p>
      <w:pPr>
        <w:numPr>
          <w:ilvl w:val="0"/>
          <w:numId w:val="124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Активы по  договорам страхования, учитываемых на счетах бухгалтерского учета в соответствии с требованиями </w:t>
      </w:r>
      <w:hyperlink r:id="rId48" w:tooltip="https://login.consultant.ru/link/?req=doc&amp;demo=2&amp;base=LAW&amp;n=384809&amp;date=26.06.2022" w:history="1">
        <w:r>
          <w:rPr>
            <w:rFonts w:eastAsia="Calibri"/>
            <w:lang w:eastAsia="en-US"/>
          </w:rPr>
          <w:t xml:space="preserve">МСФО (IFRS) 17</w:t>
        </w:r>
      </w:hyperlink>
      <w:r>
        <w:rPr>
          <w:rFonts w:eastAsia="Calibri"/>
          <w:lang w:eastAsia="en-US"/>
        </w:rPr>
        <w:t xml:space="preserve">;</w:t>
      </w:r>
      <w:r>
        <w:rPr>
          <w:rFonts w:eastAsia="Calibri"/>
          <w:lang w:eastAsia="en-US"/>
        </w:rPr>
      </w:r>
    </w:p>
    <w:p>
      <w:pPr>
        <w:numPr>
          <w:ilvl w:val="0"/>
          <w:numId w:val="124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Активы по портфелям удерживаемых (переданных) договоров перестрахования, учитываемых на счетах бухгалтерского учета в соответствии с требованиями </w:t>
      </w:r>
      <w:hyperlink r:id="rId49" w:tooltip="https://login.consultant.ru/link/?req=doc&amp;demo=2&amp;base=LAW&amp;n=384809&amp;date=26.06.2022" w:history="1">
        <w:r>
          <w:rPr>
            <w:rFonts w:eastAsia="Calibri"/>
            <w:lang w:eastAsia="en-US"/>
          </w:rPr>
          <w:t xml:space="preserve">МСФО (IFRS) 17</w:t>
        </w:r>
      </w:hyperlink>
      <w:r>
        <w:rPr>
          <w:rFonts w:eastAsia="Calibri"/>
          <w:lang w:eastAsia="en-US"/>
        </w:rPr>
        <w:t xml:space="preserve">; </w:t>
      </w:r>
      <w:r>
        <w:rPr>
          <w:rFonts w:eastAsia="Calibri"/>
          <w:lang w:eastAsia="en-US"/>
        </w:rPr>
      </w:r>
    </w:p>
    <w:p>
      <w:pPr>
        <w:contextualSpacing/>
        <w:ind w:left="1276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916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Обязательства, в т.ч.:</w:t>
      </w:r>
      <w:r>
        <w:rPr>
          <w:rFonts w:eastAsia="Calibri"/>
          <w:lang w:eastAsia="en-US"/>
        </w:rPr>
      </w:r>
    </w:p>
    <w:p>
      <w:pPr>
        <w:numPr>
          <w:ilvl w:val="0"/>
          <w:numId w:val="12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обязательства. </w:t>
      </w:r>
      <w:r>
        <w:rPr>
          <w:rFonts w:eastAsia="Calibri"/>
          <w:lang w:eastAsia="en-US"/>
        </w:rPr>
      </w:r>
    </w:p>
    <w:p>
      <w:pPr>
        <w:numPr>
          <w:ilvl w:val="0"/>
          <w:numId w:val="12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Обязательства по договорам страхования, учитываемых на счетах бухгалтерского учета в соответствии с требованиями </w:t>
      </w:r>
      <w:hyperlink r:id="rId50" w:tooltip="https://login.consultant.ru/link/?req=doc&amp;demo=2&amp;base=LAW&amp;n=384809&amp;date=26.06.2022" w:history="1">
        <w:r>
          <w:rPr>
            <w:rFonts w:eastAsia="Calibri"/>
            <w:lang w:eastAsia="en-US"/>
          </w:rPr>
          <w:t xml:space="preserve">МСФО (IFRS) 17</w:t>
        </w:r>
      </w:hyperlink>
      <w:r>
        <w:rPr>
          <w:rFonts w:eastAsia="Calibri"/>
          <w:lang w:eastAsia="en-US"/>
        </w:rPr>
        <w:t xml:space="preserve">; </w:t>
      </w:r>
      <w:r>
        <w:rPr>
          <w:rFonts w:eastAsia="Calibri"/>
          <w:lang w:eastAsia="en-US"/>
        </w:rPr>
      </w:r>
    </w:p>
    <w:p>
      <w:pPr>
        <w:numPr>
          <w:ilvl w:val="0"/>
          <w:numId w:val="125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Обязательства по портфелям удерживаемых (переданных) договоров перестрахования, учитываемых на счетах бухгалтерского учета в соответствии с требованиями </w:t>
      </w:r>
      <w:hyperlink r:id="rId51" w:tooltip="https://login.consultant.ru/link/?req=doc&amp;demo=2&amp;base=LAW&amp;n=384809&amp;date=26.06.2022" w:history="1">
        <w:r>
          <w:rPr>
            <w:rFonts w:eastAsia="Calibri"/>
            <w:lang w:eastAsia="en-US"/>
          </w:rPr>
          <w:t xml:space="preserve">МСФО (IFRS) 17</w:t>
        </w:r>
      </w:hyperlink>
      <w:r>
        <w:rPr>
          <w:rFonts w:eastAsia="Calibri"/>
          <w:lang w:eastAsia="en-US"/>
        </w:rPr>
        <w:t xml:space="preserve">; </w:t>
      </w:r>
      <w:r>
        <w:rPr>
          <w:rFonts w:eastAsia="Calibri"/>
          <w:lang w:eastAsia="en-US"/>
        </w:rPr>
      </w:r>
    </w:p>
    <w:p>
      <w:pPr>
        <w:ind w:left="360" w:firstLine="70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Капитал. Взносы.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tabs>
          <w:tab w:val="left" w:pos="709" w:leader="none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3.2. Отчет о целевом использовании средств общества взаимного страхования</w:t>
      </w:r>
      <w:r>
        <w:rPr>
          <w:rFonts w:eastAsia="Calibri"/>
          <w:lang w:eastAsia="en-US"/>
        </w:rPr>
      </w:r>
    </w:p>
    <w:p>
      <w:pPr>
        <w:ind w:firstLine="709"/>
        <w:jc w:val="both"/>
        <w:spacing w:after="160" w:line="259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3.3.  Отчет о финансовых результатах общества взаимного страхования, в т.ч.</w:t>
      </w:r>
      <w:r>
        <w:rPr>
          <w:rFonts w:eastAsia="Calibri"/>
          <w:lang w:eastAsia="en-US"/>
        </w:rPr>
      </w:r>
    </w:p>
    <w:p>
      <w:pPr>
        <w:ind w:firstLine="851"/>
        <w:jc w:val="both"/>
        <w:spacing w:after="160" w:line="259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</w:t>
      </w:r>
      <w:r>
        <w:rPr>
          <w:rFonts w:eastAsia="Calibri"/>
          <w:lang w:eastAsia="en-US"/>
        </w:rPr>
        <w:t xml:space="preserve">Деятельность по взаимному страхованию</w:t>
      </w:r>
      <w:r>
        <w:rPr>
          <w:rFonts w:eastAsia="Calibri"/>
          <w:lang w:eastAsia="en-US"/>
        </w:rPr>
      </w:r>
    </w:p>
    <w:p>
      <w:pPr>
        <w:numPr>
          <w:ilvl w:val="0"/>
          <w:numId w:val="12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Выручка и расходы по страхованию по договорам страхования; </w:t>
      </w:r>
      <w:r>
        <w:rPr>
          <w:rFonts w:eastAsia="Calibri"/>
          <w:lang w:eastAsia="en-US"/>
        </w:rPr>
      </w:r>
    </w:p>
    <w:p>
      <w:pPr>
        <w:numPr>
          <w:ilvl w:val="0"/>
          <w:numId w:val="12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Убытки и восстановление убытков от обесценения активов, признанных в отношении </w:t>
      </w:r>
      <w:r>
        <w:rPr>
          <w:rFonts w:eastAsia="Calibri"/>
          <w:lang w:eastAsia="en-US"/>
        </w:rPr>
        <w:t xml:space="preserve">аквизиционных</w:t>
      </w:r>
      <w:r>
        <w:rPr>
          <w:rFonts w:eastAsia="Calibri"/>
          <w:lang w:eastAsia="en-US"/>
        </w:rPr>
        <w:t xml:space="preserve"> денежных потоков; </w:t>
      </w:r>
      <w:r>
        <w:rPr>
          <w:rFonts w:eastAsia="Calibri"/>
          <w:lang w:eastAsia="en-US"/>
        </w:rPr>
      </w:r>
    </w:p>
    <w:p>
      <w:pPr>
        <w:numPr>
          <w:ilvl w:val="0"/>
          <w:numId w:val="12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Доходы (расходы), возникающие в связи с удерживаемыми (переданными) договорами перестрахования;</w:t>
      </w:r>
      <w:r>
        <w:rPr>
          <w:rFonts w:eastAsia="Calibri"/>
          <w:lang w:eastAsia="en-US"/>
        </w:rPr>
      </w:r>
    </w:p>
    <w:p>
      <w:pPr>
        <w:contextualSpacing/>
        <w:ind w:left="106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360" w:firstLine="70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Инвестиционная и финансовая деятельность </w:t>
      </w:r>
      <w:r>
        <w:rPr>
          <w:rFonts w:eastAsia="Calibri"/>
          <w:lang w:eastAsia="en-US"/>
        </w:rPr>
      </w:r>
    </w:p>
    <w:p>
      <w:pPr>
        <w:numPr>
          <w:ilvl w:val="0"/>
          <w:numId w:val="1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Процентные доходы и процентные расходы;</w:t>
      </w:r>
      <w:r>
        <w:rPr>
          <w:rFonts w:eastAsia="Calibri"/>
          <w:lang w:eastAsia="en-US"/>
        </w:rPr>
      </w:r>
    </w:p>
    <w:p>
      <w:pPr>
        <w:numPr>
          <w:ilvl w:val="0"/>
          <w:numId w:val="1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Доходы за вычетом расходов (расходы за вычетом доходов) от операций с финансовыми инструментами;</w:t>
      </w:r>
      <w:r>
        <w:rPr>
          <w:rFonts w:eastAsia="Calibri"/>
          <w:lang w:eastAsia="en-US"/>
        </w:rPr>
      </w:r>
    </w:p>
    <w:p>
      <w:pPr>
        <w:numPr>
          <w:ilvl w:val="0"/>
          <w:numId w:val="1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Доходы за вычетом расходов (расходы за вычетом доходов) по восстановлению (созданию) оценочных резервов под ожидаемые кредитные убытки по долговым инструментам; страхования;</w:t>
      </w:r>
      <w:r>
        <w:rPr>
          <w:rFonts w:eastAsia="Calibri"/>
          <w:lang w:eastAsia="en-US"/>
        </w:rPr>
      </w:r>
    </w:p>
    <w:p>
      <w:pPr>
        <w:numPr>
          <w:ilvl w:val="0"/>
          <w:numId w:val="1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доходы (расходы) по страхованию по группам договоров страхования; </w:t>
      </w:r>
      <w:r>
        <w:rPr>
          <w:rFonts w:eastAsia="Calibri"/>
          <w:lang w:eastAsia="en-US"/>
        </w:rPr>
      </w:r>
    </w:p>
    <w:p>
      <w:pPr>
        <w:numPr>
          <w:ilvl w:val="0"/>
          <w:numId w:val="1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Финансовые доходы (расходы) по страхованию по группам удерживаемых (переданных) договоров перестрахования; </w:t>
      </w:r>
      <w:r>
        <w:rPr>
          <w:rFonts w:eastAsia="Calibri"/>
          <w:lang w:eastAsia="en-US"/>
        </w:rPr>
      </w:r>
    </w:p>
    <w:p>
      <w:pPr>
        <w:numPr>
          <w:ilvl w:val="0"/>
          <w:numId w:val="12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Прочие операционные доходы и расходы; </w:t>
      </w:r>
      <w:r>
        <w:rPr>
          <w:rFonts w:eastAsia="Calibri"/>
          <w:lang w:eastAsia="en-US"/>
        </w:rPr>
      </w:r>
    </w:p>
    <w:p>
      <w:pPr>
        <w:contextualSpacing/>
        <w:ind w:left="106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Прочий совокупный доход</w:t>
      </w:r>
      <w:r>
        <w:rPr>
          <w:rFonts w:eastAsia="Calibri"/>
          <w:lang w:eastAsia="en-US"/>
        </w:rPr>
      </w:r>
    </w:p>
    <w:p>
      <w:pPr>
        <w:contextualSpacing/>
        <w:ind w:left="1068"/>
        <w:jc w:val="both"/>
        <w:spacing w:after="160" w:line="259" w:lineRule="auto"/>
        <w:tabs>
          <w:tab w:val="left" w:pos="1068" w:leader="none"/>
        </w:tabs>
        <w:rPr>
          <w:rFonts w:ascii="Calibri" w:hAnsi="Calibri" w:eastAsia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 xml:space="preserve"> </w:t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ind w:left="720"/>
        <w:jc w:val="both"/>
        <w:spacing w:after="160" w:line="259" w:lineRule="auto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3.</w:t>
      </w:r>
      <w:r>
        <w:rPr>
          <w:rFonts w:eastAsia="Calibri"/>
          <w:bCs/>
          <w:lang w:eastAsia="en-US"/>
        </w:rPr>
        <w:t xml:space="preserve">4</w:t>
      </w:r>
      <w:r>
        <w:rPr>
          <w:rFonts w:eastAsia="Calibri"/>
          <w:bCs/>
          <w:lang w:eastAsia="en-US"/>
        </w:rPr>
        <w:t xml:space="preserve">. Приложения к бухгалтерскому балансу и отчету о финансовых результатах и примечания к отчетности общества взаимного страхования</w:t>
      </w:r>
      <w:r>
        <w:rPr>
          <w:rFonts w:eastAsia="Calibri"/>
          <w:bCs/>
          <w:lang w:eastAsia="en-US"/>
        </w:rPr>
      </w:r>
    </w:p>
    <w:p>
      <w:pPr>
        <w:ind w:firstLine="709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Составление отчета об изменениях капитала общества взаимного страхования.</w:t>
      </w:r>
      <w:r>
        <w:rPr>
          <w:rFonts w:eastAsia="Calibri"/>
          <w:lang w:eastAsia="en-US"/>
        </w:rPr>
      </w:r>
    </w:p>
    <w:p>
      <w:pPr>
        <w:numPr>
          <w:ilvl w:val="0"/>
          <w:numId w:val="128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Составление отчета о потоках денежных средств общества взаимного страхования.</w:t>
      </w:r>
      <w:r>
        <w:rPr>
          <w:rFonts w:eastAsia="Calibri"/>
          <w:lang w:eastAsia="en-US"/>
        </w:rPr>
      </w:r>
    </w:p>
    <w:p>
      <w:pPr>
        <w:numPr>
          <w:ilvl w:val="0"/>
          <w:numId w:val="128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Примечания к бухгалтерской (финансовой) отчетности общества взаимного страхования</w:t>
      </w:r>
      <w:r>
        <w:rPr>
          <w:rFonts w:eastAsia="Calibri"/>
          <w:lang w:eastAsia="en-US"/>
        </w:rPr>
      </w:r>
    </w:p>
    <w:p>
      <w:pPr>
        <w:contextualSpacing/>
        <w:ind w:left="708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</w:pPr>
      <w:r>
        <w:rPr>
          <w:rFonts w:eastAsia="Calibri"/>
          <w:lang w:eastAsia="en-US"/>
        </w:rPr>
        <w:t xml:space="preserve">Глубокое и детальное понимание норм отраслевых стандартов Банка России в отношении бухгалтерского учета и составления отчетности страховыми организациями и обществами взаимного страхования.</w:t>
      </w:r>
      <w:r>
        <w:t xml:space="preserve">  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shd w:val="clear" w:color="auto" w:fill="ffff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6-5-03 </w:t>
      </w:r>
      <w:r>
        <w:rPr>
          <w:rFonts w:eastAsia="Calibri"/>
          <w:b/>
          <w:lang w:eastAsia="en-US"/>
        </w:rPr>
        <w:t xml:space="preserve">«ОТРАСЛЕВЫЕ СТАНДАРТЫ БУХГАЛТЕРСКОГО УЧЕТА: СТРАХОВЫЕ ОРГАНИЗАЦИИ</w:t>
      </w:r>
      <w:r>
        <w:rPr>
          <w:rFonts w:eastAsia="Calibri"/>
          <w:b/>
          <w:bCs/>
          <w:lang w:eastAsia="en-US"/>
        </w:rPr>
        <w:t xml:space="preserve">» 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 – 20 академических часов.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 – углублени</w:t>
      </w:r>
      <w:r>
        <w:rPr>
          <w:rFonts w:eastAsia="Calibri"/>
          <w:lang w:eastAsia="en-US"/>
        </w:rPr>
        <w:t xml:space="preserve">е знаний аудиторов и руководителей аудита общественно значимых организаций, желающих специализироваться на аудите страховых организаций, в части страхового законодательства, особенностей деятельности страховых организаций, организации бухгалтерского учета.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1. Характеристика деятельности страховых организаций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pStyle w:val="1141"/>
        <w:numPr>
          <w:ilvl w:val="0"/>
          <w:numId w:val="175"/>
        </w:numPr>
        <w:ind w:left="284" w:hanging="284"/>
        <w:spacing w:after="0" w:line="259" w:lineRule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Основные функции Банка России как регулятора страховой деятельности.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1141"/>
        <w:numPr>
          <w:ilvl w:val="0"/>
          <w:numId w:val="175"/>
        </w:numPr>
        <w:ind w:left="284" w:hanging="284"/>
        <w:spacing w:after="160" w:line="259" w:lineRule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Требования Банка России в отношении системы внутреннего контроля и внутреннего аудита страховых организаций;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1141"/>
        <w:numPr>
          <w:ilvl w:val="0"/>
          <w:numId w:val="175"/>
        </w:numPr>
        <w:ind w:left="284" w:hanging="284"/>
        <w:spacing w:after="0" w:line="259" w:lineRule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Антимонопольное законодательство и раскрытие информации по аффилированным лицам.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pStyle w:val="1141"/>
        <w:ind w:left="284"/>
        <w:spacing w:after="0" w:line="259" w:lineRule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Нормативное регулирование бухгалтерского учета страховых организаций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5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отраслевых стандартов в системе нормативно-правовых актов, регламентирующих порядок бухгалтерского учета в РФ, сфера применения и порядок разработки и утверждения.</w:t>
      </w:r>
      <w:r>
        <w:rPr>
          <w:rFonts w:eastAsia="Tahoma"/>
          <w:lang w:eastAsia="en-US"/>
        </w:rPr>
      </w:r>
    </w:p>
    <w:p>
      <w:pPr>
        <w:numPr>
          <w:ilvl w:val="0"/>
          <w:numId w:val="5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Состав действующих отраслевых стандартов для </w:t>
      </w:r>
      <w:r>
        <w:rPr>
          <w:rFonts w:eastAsia="Tahoma"/>
          <w:shd w:val="clear" w:color="auto" w:fill="ffffff"/>
          <w:lang w:eastAsia="en-US"/>
        </w:rPr>
        <w:t xml:space="preserve">страховых </w:t>
      </w:r>
      <w:r>
        <w:rPr>
          <w:rFonts w:eastAsia="Tahoma"/>
          <w:lang w:eastAsia="en-US"/>
        </w:rPr>
        <w:t xml:space="preserve">организаций и</w:t>
      </w:r>
      <w:r>
        <w:rPr>
          <w:rFonts w:eastAsia="Tahoma"/>
          <w:shd w:val="clear" w:color="auto" w:fill="ffffff"/>
          <w:lang w:eastAsia="en-US"/>
        </w:rPr>
        <w:t xml:space="preserve"> обществ взаимного страхования.</w:t>
      </w:r>
      <w:r>
        <w:rPr>
          <w:rFonts w:eastAsia="Tahoma"/>
          <w:lang w:eastAsia="en-US"/>
        </w:rPr>
      </w:r>
    </w:p>
    <w:p>
      <w:pPr>
        <w:numPr>
          <w:ilvl w:val="0"/>
          <w:numId w:val="5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Последние принятые и планируемые изменения отраслевых стандартов для </w:t>
      </w:r>
      <w:r>
        <w:rPr>
          <w:rFonts w:eastAsia="Tahoma"/>
          <w:shd w:val="clear" w:color="auto" w:fill="ffffff"/>
          <w:lang w:eastAsia="en-US"/>
        </w:rPr>
        <w:t xml:space="preserve">страховых </w:t>
      </w:r>
      <w:r>
        <w:rPr>
          <w:rFonts w:eastAsia="Tahoma"/>
          <w:lang w:eastAsia="en-US"/>
        </w:rPr>
        <w:t xml:space="preserve">организаций.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3. Отраслевые стандарты бухгалтерского учета для </w:t>
      </w:r>
      <w:r>
        <w:rPr>
          <w:rFonts w:eastAsia="Tahoma"/>
          <w:b/>
          <w:shd w:val="clear" w:color="auto" w:fill="ffffff"/>
          <w:lang w:eastAsia="en-US"/>
        </w:rPr>
        <w:t xml:space="preserve">страховых организаций и обществ взаимного страхования</w:t>
      </w:r>
      <w:r>
        <w:rPr>
          <w:rFonts w:eastAsia="Calibri"/>
          <w:b/>
          <w:lang w:eastAsia="en-US"/>
        </w:rPr>
        <w:t xml:space="preserve">, устанавливающие общие принципы ведения бухгалтерского учета и порядок составления бухгалтерской (финансовой) отчетности</w:t>
      </w:r>
      <w:r>
        <w:rPr>
          <w:rFonts w:eastAsia="Calibri"/>
          <w:b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numPr>
          <w:ilvl w:val="0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Tahoma"/>
          <w:shd w:val="clear" w:color="auto" w:fill="ffffff"/>
          <w:lang w:eastAsia="en-US"/>
        </w:rPr>
        <w:t xml:space="preserve">Положение Банка России «Отраслевой стандарт бухгалтерского учета “Порядок составления бухгалтерской (финансовой) отчетности страховых организаций и обществ взаимного страхования” от 28.12.2015 № 526-П;</w:t>
      </w:r>
      <w:r>
        <w:rPr>
          <w:rFonts w:eastAsia="Calibri"/>
          <w:lang w:eastAsia="en-US"/>
        </w:rPr>
      </w:r>
    </w:p>
    <w:p>
      <w:pPr>
        <w:numPr>
          <w:ilvl w:val="0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№ 491-П от 04.09.2015"Отраслевой стандарт бухгалтерского учета в страховых организациях и обществах взаимного страхования, расположенных на территории Российской Федерации"</w:t>
      </w:r>
      <w:r>
        <w:rPr>
          <w:rFonts w:eastAsia="Calibri"/>
          <w:lang w:eastAsia="en-US"/>
        </w:rPr>
      </w:r>
    </w:p>
    <w:p>
      <w:pPr>
        <w:numPr>
          <w:ilvl w:val="1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Методические рекомендации по бухгалтерскому учету операций страховщиков, связанных с осуществлением деятельности по страхованию, </w:t>
      </w:r>
      <w:r>
        <w:rPr>
          <w:rFonts w:eastAsia="Calibri"/>
          <w:lang w:eastAsia="en-US"/>
        </w:rPr>
        <w:t xml:space="preserve">сострахованию</w:t>
      </w:r>
      <w:r>
        <w:rPr>
          <w:rFonts w:eastAsia="Calibri"/>
          <w:lang w:eastAsia="en-US"/>
        </w:rPr>
        <w:t xml:space="preserve">, перестрахованию и обязательному меди</w:t>
      </w:r>
      <w:r>
        <w:rPr>
          <w:rFonts w:eastAsia="Calibri"/>
          <w:lang w:eastAsia="en-US"/>
        </w:rPr>
        <w:t xml:space="preserve">цинскому страхованию, на которые распространяется Положение Банка России от 4 сентября 2015 года N 491-П "Отраслевой стандарт бухгалтерского учета в страховых организациях и обществах взаимного страхования, расположенных на территории Российской Федерации"</w:t>
      </w:r>
      <w:r>
        <w:rPr>
          <w:rFonts w:eastAsia="Calibri"/>
          <w:lang w:eastAsia="en-US"/>
        </w:rPr>
      </w:r>
    </w:p>
    <w:p>
      <w:pPr>
        <w:numPr>
          <w:ilvl w:val="0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№ 774-П от 23.09.2021 "О порядке отражения на счетах бухгалтерского учета страховщиками договоров страхования жизни и договоров перестрахования жизни".</w:t>
      </w:r>
      <w:r>
        <w:rPr>
          <w:rFonts w:eastAsia="Calibri"/>
          <w:lang w:eastAsia="en-US"/>
        </w:rPr>
      </w:r>
    </w:p>
    <w:p>
      <w:pPr>
        <w:numPr>
          <w:ilvl w:val="0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</w:t>
      </w:r>
      <w:r>
        <w:rPr>
          <w:rFonts w:eastAsia="Calibri"/>
          <w:lang w:eastAsia="en-US"/>
        </w:rPr>
        <w:t xml:space="preserve">а России № 775-П от 23.09.2021 "О порядке отражения на счетах бухгалтерского учета страховщиками договоров страхования иного, чем страхование жизни, договоров перестрахования иного, чем страхование жизни, и договоров обязательного медицинского страхования"</w:t>
      </w:r>
      <w:r>
        <w:rPr>
          <w:rFonts w:eastAsia="Calibri"/>
          <w:lang w:eastAsia="en-US"/>
        </w:rPr>
      </w:r>
    </w:p>
    <w:p>
      <w:pPr>
        <w:numPr>
          <w:ilvl w:val="0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N 728-П от</w:t>
      </w:r>
      <w:r>
        <w:rPr>
          <w:rFonts w:eastAsia="Calibri"/>
          <w:lang w:eastAsia="en-US"/>
        </w:rPr>
        <w:t xml:space="preserve"> 06.07.2020 "О формах раскрытия информации в бухгалтерской (финансовой) отчетности страховых организаций и обществ взаимного страхования и порядке группировки счетов бухгалтерского учета в соответствии с показателями бухгалтерской (финансовой) отчетности" </w:t>
      </w:r>
      <w:r>
        <w:rPr>
          <w:rFonts w:eastAsia="Calibri"/>
          <w:lang w:eastAsia="en-US"/>
        </w:rPr>
      </w:r>
    </w:p>
    <w:p>
      <w:pPr>
        <w:numPr>
          <w:ilvl w:val="1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№ 721-П от 15.06.2020 «О порядке отражения на счетах бухгалтерского учета страховщиками договоров страхования жизни и договоров перестрахования жизни».</w:t>
      </w:r>
      <w:r>
        <w:rPr>
          <w:rFonts w:eastAsia="Calibri"/>
          <w:lang w:eastAsia="en-US"/>
        </w:rPr>
      </w:r>
    </w:p>
    <w:p>
      <w:pPr>
        <w:numPr>
          <w:ilvl w:val="1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</w:t>
      </w:r>
      <w:r>
        <w:rPr>
          <w:rFonts w:eastAsia="Calibri"/>
          <w:lang w:eastAsia="en-US"/>
        </w:rPr>
        <w:t xml:space="preserve"> России № 722-П от 15.06.2020 «О порядке отражения на счетах бухгалтерского учета страховщиками договоров страхования иного, чем страхование жизни, договоров перестрахования иного, чем страхование жизни, и договоров обязательного медицинского страхования».</w:t>
      </w:r>
      <w:r>
        <w:rPr>
          <w:rFonts w:eastAsia="Calibri"/>
          <w:lang w:eastAsia="en-US"/>
        </w:rPr>
      </w:r>
    </w:p>
    <w:p>
      <w:pPr>
        <w:numPr>
          <w:ilvl w:val="1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№ 723-П от 18.06.2020 «О порядке отражения на счетах бухгалтерского учета негосударственными пенсионными фондами договоров негосударственного пенсионного обеспечения».</w:t>
      </w:r>
      <w:r>
        <w:rPr>
          <w:rFonts w:eastAsia="Calibri"/>
          <w:lang w:eastAsia="en-US"/>
        </w:rPr>
      </w:r>
    </w:p>
    <w:p>
      <w:pPr>
        <w:numPr>
          <w:ilvl w:val="1"/>
          <w:numId w:val="57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№ 724-П от 18.06.2020 «О порядке отражения на счетах бухгалтерского учета негосударственными пенсионными фондами договоров об обязательном пенсионном страховании».</w:t>
      </w:r>
      <w:r>
        <w:rPr>
          <w:rFonts w:eastAsia="Calibri"/>
          <w:lang w:eastAsia="en-US"/>
        </w:rPr>
      </w:r>
    </w:p>
    <w:p>
      <w:pPr>
        <w:numPr>
          <w:ilvl w:val="0"/>
          <w:numId w:val="57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спорных и сложных ситуаций из практики применения данных отраслевых стандартов.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4. </w:t>
      </w:r>
      <w:r>
        <w:rPr>
          <w:rFonts w:eastAsia="Calibri"/>
          <w:b/>
          <w:lang w:eastAsia="en-US"/>
        </w:rPr>
        <w:t xml:space="preserve">Экономические нормативы: анализ финансовой устойчивости страховой организации</w:t>
      </w:r>
      <w:r>
        <w:rPr>
          <w:rFonts w:eastAsia="Calibri"/>
          <w:b/>
          <w:lang w:eastAsia="en-US"/>
        </w:rPr>
      </w:r>
    </w:p>
    <w:p>
      <w:pPr>
        <w:numPr>
          <w:ilvl w:val="1"/>
          <w:numId w:val="8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Положение Банка России от 10.01.2020 №710-П "Об отдельных требованиях и финансовой устойчивости страховщиков».</w:t>
      </w:r>
      <w:r>
        <w:rPr>
          <w:rFonts w:eastAsia="Calibri"/>
          <w:lang w:eastAsia="en-US"/>
        </w:rPr>
      </w:r>
    </w:p>
    <w:p>
      <w:pPr>
        <w:numPr>
          <w:ilvl w:val="0"/>
          <w:numId w:val="8"/>
        </w:numPr>
        <w:contextualSpacing/>
        <w:jc w:val="both"/>
        <w:spacing w:after="150" w:line="259" w:lineRule="auto"/>
        <w:widowControl w:val="off"/>
        <w:rPr>
          <w:rFonts w:eastAsia="Calibri"/>
          <w:sz w:val="36"/>
          <w:szCs w:val="36"/>
          <w:lang w:eastAsia="en-US"/>
        </w:rPr>
      </w:pPr>
      <w:r>
        <w:rPr>
          <w:rFonts w:eastAsia="Calibri"/>
          <w:lang w:eastAsia="en-US"/>
        </w:rPr>
        <w:t xml:space="preserve">Положение от 16 ноября 2021 г. N </w:t>
      </w:r>
      <w:r>
        <w:rPr>
          <w:rFonts w:eastAsia="Calibri"/>
          <w:lang w:eastAsia="en-US"/>
        </w:rPr>
        <w:t xml:space="preserve">781</w:t>
      </w:r>
      <w:r>
        <w:rPr>
          <w:rFonts w:eastAsia="Calibri"/>
          <w:sz w:val="36"/>
          <w:szCs w:val="36"/>
          <w:lang w:eastAsia="en-US"/>
        </w:rPr>
        <w:t xml:space="preserve">-п</w:t>
      </w:r>
      <w:r>
        <w:rPr>
          <w:rFonts w:eastAsia="Calibri"/>
          <w:sz w:val="36"/>
          <w:szCs w:val="36"/>
          <w:lang w:eastAsia="en-US"/>
        </w:rPr>
      </w:r>
    </w:p>
    <w:p>
      <w:pPr>
        <w:contextualSpacing/>
        <w:ind w:left="179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</w:pPr>
      <w:r>
        <w:rPr>
          <w:rFonts w:eastAsia="Calibri"/>
          <w:lang w:eastAsia="en-US"/>
        </w:rPr>
        <w:t xml:space="preserve">Глубокое понимание отраслевых стандартов бухгалтерского учета и правил составления бухгалтерской (финансовой) отчетности страховых организаций, необходимое для проведения аудита.</w:t>
      </w:r>
      <w:r/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hd w:val="clear" w:color="auto" w:fill="ffff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rFonts w:eastAsiaTheme="minorHAnsi"/>
          <w:b/>
          <w:bCs/>
        </w:rPr>
        <w:t xml:space="preserve">6-5-04 </w:t>
      </w:r>
      <w:r>
        <w:rPr>
          <w:rFonts w:eastAsiaTheme="minorHAnsi"/>
          <w:b/>
          <w:lang w:eastAsia="en-US"/>
        </w:rPr>
        <w:t xml:space="preserve">«СТРАХОВЫЕ ОРГАНИЗАЦИИ: ОРГАНИЗАЦИЯ ДЕЯТЕЛЬНОСТИ, ОСОБЕННОСТИ БУХГАЛТЕРСКОГО УЧЕТА, НАЛОГООБЛОЖЕНИЯ И АУДИТА» </w:t>
      </w:r>
      <w:r>
        <w:rPr>
          <w:rFonts w:eastAsiaTheme="minorHAnsi"/>
          <w:b/>
          <w:lang w:eastAsia="en-US"/>
        </w:rPr>
      </w:r>
    </w:p>
    <w:p>
      <w:pPr>
        <w:jc w:val="both"/>
      </w:pPr>
      <w:r/>
      <w:r/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40 академических часов.</w:t>
      </w:r>
      <w:r/>
    </w:p>
    <w:p>
      <w:pPr>
        <w:jc w:val="both"/>
      </w:pPr>
      <w:r/>
      <w:r/>
    </w:p>
    <w:p>
      <w:pPr>
        <w:jc w:val="both"/>
      </w:pPr>
      <w:r>
        <w:rPr>
          <w:b/>
          <w:bCs/>
        </w:rPr>
        <w:t xml:space="preserve">Цель программы</w:t>
      </w:r>
      <w:r>
        <w:t xml:space="preserve"> – углубление знаний аудиторов и руководителей аудита общественно знач</w:t>
      </w:r>
      <w:r>
        <w:t xml:space="preserve">имых организаций, желающих специализироваться на аудите страховых организаций, в части страхового законодательства, особенностей деятельности страховых организаций, организации бухгалтерского учета, налогообложения, проведения аудита страховых организаций.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Тема 1. Характеристика деятельности страховых организаций</w:t>
      </w:r>
      <w:r>
        <w:rPr>
          <w:b/>
          <w:bCs/>
        </w:rPr>
      </w:r>
    </w:p>
    <w:p>
      <w:pPr>
        <w:jc w:val="both"/>
      </w:pPr>
      <w:r/>
      <w:r/>
    </w:p>
    <w:p>
      <w:pPr>
        <w:numPr>
          <w:ilvl w:val="0"/>
          <w:numId w:val="114"/>
        </w:numPr>
        <w:jc w:val="both"/>
      </w:pPr>
      <w:r>
        <w:t xml:space="preserve">Основные функции Банка России как регулятора страховой деятельности;</w:t>
      </w:r>
      <w:r/>
    </w:p>
    <w:p>
      <w:pPr>
        <w:numPr>
          <w:ilvl w:val="0"/>
          <w:numId w:val="114"/>
        </w:numPr>
        <w:contextualSpacing/>
        <w:jc w:val="both"/>
      </w:pPr>
      <w:r>
        <w:t xml:space="preserve">Требования Банка России в отношении системы внутреннего контроля страховых организаций;</w:t>
      </w:r>
      <w:r/>
    </w:p>
    <w:p>
      <w:pPr>
        <w:numPr>
          <w:ilvl w:val="0"/>
          <w:numId w:val="114"/>
        </w:numPr>
        <w:contextualSpacing/>
        <w:jc w:val="both"/>
      </w:pPr>
      <w:r>
        <w:t xml:space="preserve">Антимонопольное законодательство и раскрытие информации по аффилированным лицам.</w:t>
      </w:r>
      <w:r/>
    </w:p>
    <w:p>
      <w:pPr>
        <w:contextualSpacing/>
        <w:ind w:left="720"/>
        <w:jc w:val="both"/>
        <w:rPr>
          <w:rFonts w:eastAsia="Tahoma"/>
        </w:rPr>
      </w:pPr>
      <w:r>
        <w:rPr>
          <w:rFonts w:eastAsia="Tahoma"/>
        </w:rPr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  <w:t xml:space="preserve">Тема 2. Нормативное регулирование страховых организаций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115"/>
        </w:numPr>
        <w:contextualSpacing/>
        <w:jc w:val="both"/>
        <w:rPr>
          <w:rFonts w:eastAsia="Tahoma"/>
          <w:shd w:val="clear" w:color="auto" w:fill="ffffff"/>
        </w:rPr>
      </w:pPr>
      <w:r>
        <w:t xml:space="preserve">Система отраслевых стандартов учета в страховых организациях. Их место в системе бухгалтерского учета Российской Федерации. Сближение с МСФО</w:t>
      </w:r>
      <w:r>
        <w:rPr>
          <w:rFonts w:eastAsia="Tahoma"/>
          <w:shd w:val="clear" w:color="auto" w:fill="ffffff"/>
        </w:rPr>
        <w:t xml:space="preserve">.</w:t>
      </w:r>
      <w:r>
        <w:rPr>
          <w:rFonts w:eastAsia="Tahoma"/>
          <w:shd w:val="clear" w:color="auto" w:fill="ffffff"/>
        </w:rPr>
      </w:r>
    </w:p>
    <w:p>
      <w:pPr>
        <w:numPr>
          <w:ilvl w:val="0"/>
          <w:numId w:val="115"/>
        </w:numPr>
        <w:contextualSpacing/>
        <w:jc w:val="both"/>
        <w:rPr>
          <w:rFonts w:eastAsia="Tahoma"/>
          <w:shd w:val="clear" w:color="auto" w:fill="ffffff"/>
        </w:rPr>
      </w:pPr>
      <w:r>
        <w:rPr>
          <w:rFonts w:eastAsia="Tahoma"/>
        </w:rPr>
        <w:t xml:space="preserve">Экономические нормативы: анализ финансовой устойчивости страховой организации. </w:t>
      </w:r>
      <w:r>
        <w:t xml:space="preserve">Положение Банка России от 10.01.2020 №710-П "Об отдельных требованиях и финансовой устойчивости страховщиков».</w:t>
      </w:r>
      <w:r>
        <w:rPr>
          <w:rFonts w:eastAsia="Tahoma"/>
          <w:shd w:val="clear" w:color="auto" w:fill="ffffff"/>
        </w:rPr>
      </w:r>
    </w:p>
    <w:p>
      <w:pPr>
        <w:ind w:left="675"/>
        <w:jc w:val="both"/>
      </w:pPr>
      <w:r/>
      <w:r/>
    </w:p>
    <w:p>
      <w:pPr>
        <w:ind w:right="-1"/>
        <w:jc w:val="both"/>
        <w:rPr>
          <w:b/>
        </w:rPr>
      </w:pPr>
      <w:r>
        <w:rPr>
          <w:b/>
        </w:rPr>
        <w:t xml:space="preserve">Тема 3. Правила ведения бухгалтерского учета в страховых организациях</w:t>
      </w:r>
      <w:r>
        <w:rPr>
          <w:b/>
        </w:rPr>
      </w:r>
    </w:p>
    <w:p>
      <w:pPr>
        <w:ind w:right="-1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116"/>
        </w:numPr>
        <w:contextualSpacing/>
        <w:jc w:val="both"/>
      </w:pPr>
      <w:r>
        <w:t xml:space="preserve">Основные принципы бухгалтерского учета в страховых организациях. </w:t>
      </w:r>
      <w:r/>
    </w:p>
    <w:p>
      <w:pPr>
        <w:numPr>
          <w:ilvl w:val="0"/>
          <w:numId w:val="116"/>
        </w:numPr>
        <w:contextualSpacing/>
        <w:jc w:val="both"/>
      </w:pPr>
      <w:r>
        <w:t xml:space="preserve">План счетов бухгалтерского учета в страховых организациях: его структура, виды счетов, краткая характеристика счетов. </w:t>
      </w:r>
      <w:r/>
    </w:p>
    <w:p>
      <w:pPr>
        <w:numPr>
          <w:ilvl w:val="0"/>
          <w:numId w:val="116"/>
        </w:numPr>
        <w:contextualSpacing/>
        <w:jc w:val="both"/>
      </w:pPr>
      <w:r>
        <w:t xml:space="preserve">Порядок отражения на счетах бухгалтерского учета объектов бухгалтерского учета страховыми организациями.</w:t>
      </w:r>
      <w:r/>
    </w:p>
    <w:p>
      <w:pPr>
        <w:numPr>
          <w:ilvl w:val="0"/>
          <w:numId w:val="116"/>
        </w:numPr>
        <w:contextualSpacing/>
        <w:jc w:val="both"/>
      </w:pPr>
      <w:r>
        <w:t xml:space="preserve">Правила учета отложенных налогов в страховых организациях. </w:t>
      </w:r>
      <w:r>
        <w:rPr>
          <w:rFonts w:eastAsia="Tahoma"/>
        </w:rPr>
        <w:t xml:space="preserve">Особенности ведения налогового учета доходов и расходов страховых организаций. </w:t>
      </w:r>
      <w:r>
        <w:t xml:space="preserve">Порядок признания отложенных налоговых обязательств и отложенных налоговых активов, в том числе в связи с переоценкой основного средства, в связи с переоценкой долевых и долговых ценных бумаг и в связи с формированием резерва под обесценение.</w:t>
      </w:r>
      <w:r/>
    </w:p>
    <w:p>
      <w:pPr>
        <w:contextualSpacing/>
        <w:ind w:left="360"/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Тема </w:t>
      </w:r>
      <w:r>
        <w:rPr>
          <w:b/>
        </w:rPr>
        <w:t xml:space="preserve">4</w:t>
      </w:r>
      <w:r>
        <w:rPr>
          <w:b/>
          <w:bCs/>
        </w:rPr>
        <w:t xml:space="preserve">. Бухгалтерская и финансовая отчетность страховой организации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numPr>
          <w:ilvl w:val="0"/>
          <w:numId w:val="117"/>
        </w:numPr>
        <w:contextualSpacing/>
        <w:jc w:val="both"/>
      </w:pPr>
      <w:r>
        <w:rPr>
          <w:rFonts w:eastAsia="Tahoma"/>
          <w:shd w:val="clear" w:color="auto" w:fill="ffffff"/>
        </w:rPr>
        <w:t xml:space="preserve">Положение Банка России «Отраслевой стандарт бухгалтерского учета “Порядок составления бухгалтерской (финансовой) отчетности страховых организаций и обществ взаимного страхования”» от 28.12.2015 № 526-П;</w:t>
      </w:r>
      <w:r/>
    </w:p>
    <w:p>
      <w:pPr>
        <w:numPr>
          <w:ilvl w:val="0"/>
          <w:numId w:val="117"/>
        </w:numPr>
        <w:contextualSpacing/>
        <w:jc w:val="both"/>
      </w:pPr>
      <w:r>
        <w:t xml:space="preserve">Формы, состав, периодичность, требования по опубликованию и адреса предоставления бухгалтерской (финансовой) отчетности;</w:t>
      </w:r>
      <w:r/>
    </w:p>
    <w:p>
      <w:pPr>
        <w:numPr>
          <w:ilvl w:val="0"/>
          <w:numId w:val="117"/>
        </w:numPr>
        <w:contextualSpacing/>
        <w:jc w:val="both"/>
      </w:pPr>
      <w:r>
        <w:t xml:space="preserve">Изменения в составе и порядке формирования бухгалтерской (финансовой) отчетности (в случае наличия); </w:t>
      </w:r>
      <w:r/>
    </w:p>
    <w:p>
      <w:pPr>
        <w:numPr>
          <w:ilvl w:val="0"/>
          <w:numId w:val="117"/>
        </w:numPr>
        <w:contextualSpacing/>
        <w:jc w:val="both"/>
      </w:pPr>
      <w:r>
        <w:t xml:space="preserve">Отчетность, направляемая страховыми организациями в Банк России в порядке надзора;</w:t>
      </w:r>
      <w:r/>
    </w:p>
    <w:p>
      <w:pPr>
        <w:numPr>
          <w:ilvl w:val="0"/>
          <w:numId w:val="117"/>
        </w:numPr>
        <w:contextualSpacing/>
        <w:jc w:val="both"/>
      </w:pPr>
      <w:r>
        <w:t xml:space="preserve">Принципы и порядок составления консолидированной финансовой отчетности страховщиков. 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</w:rPr>
        <w:t xml:space="preserve">Тема 5. </w:t>
      </w:r>
      <w:r>
        <w:rPr>
          <w:b/>
          <w:bCs/>
        </w:rPr>
        <w:t xml:space="preserve">Аудит бухгалтерской (финансовой) отчетности страховых организаций</w:t>
      </w:r>
      <w:r>
        <w:rPr>
          <w:b/>
        </w:rPr>
        <w:t xml:space="preserve"> в соответствии с Международными стандартами аудита</w:t>
      </w:r>
      <w:r>
        <w:rPr>
          <w:b/>
          <w:bCs/>
        </w:rPr>
      </w:r>
    </w:p>
    <w:p>
      <w:pPr>
        <w:jc w:val="both"/>
      </w:pPr>
      <w:r/>
      <w:r/>
    </w:p>
    <w:p>
      <w:pPr>
        <w:numPr>
          <w:ilvl w:val="0"/>
          <w:numId w:val="118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Требования к аудиторской организации для проведения обязательного аудита бухгалтерской (финансовой) отчетности страховщиков;</w:t>
      </w:r>
      <w:r>
        <w:rPr>
          <w:rFonts w:eastAsia="Tahoma"/>
        </w:rPr>
      </w:r>
    </w:p>
    <w:p>
      <w:pPr>
        <w:numPr>
          <w:ilvl w:val="0"/>
          <w:numId w:val="118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Порядок заключения договора на проведения обязательного аудита бухгалтерской (финансовой) отчетности страховщиков;</w:t>
      </w:r>
      <w:r>
        <w:rPr>
          <w:rFonts w:eastAsia="Tahoma"/>
        </w:rPr>
      </w:r>
    </w:p>
    <w:p>
      <w:pPr>
        <w:numPr>
          <w:ilvl w:val="0"/>
          <w:numId w:val="118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Процедуры проверки предписаний Банка России в отношении проверяемой страховой организации.</w:t>
      </w:r>
      <w:r>
        <w:rPr>
          <w:rFonts w:eastAsia="Tahoma"/>
        </w:rPr>
      </w:r>
    </w:p>
    <w:p>
      <w:pPr>
        <w:numPr>
          <w:ilvl w:val="0"/>
          <w:numId w:val="118"/>
        </w:numPr>
        <w:contextualSpacing/>
        <w:jc w:val="both"/>
        <w:rPr>
          <w:rFonts w:eastAsia="Tahoma"/>
        </w:rPr>
      </w:pPr>
      <w:r>
        <w:t xml:space="preserve">Особенности аудита </w:t>
      </w:r>
      <w:r>
        <w:rPr>
          <w:rFonts w:eastAsia="Tahoma"/>
        </w:rPr>
        <w:t xml:space="preserve">бухгалтерской (финансовой) отчетности страховщиков</w:t>
      </w:r>
      <w:r>
        <w:t xml:space="preserve"> как общественно значимых организаций. </w:t>
      </w:r>
      <w:r>
        <w:rPr>
          <w:rFonts w:eastAsia="Tahoma"/>
        </w:rPr>
        <w:t xml:space="preserve">Группы</w:t>
      </w:r>
      <w:r>
        <w:t xml:space="preserve"> пользователей финансовой отчетности и их интересы;</w:t>
      </w:r>
      <w:r>
        <w:rPr>
          <w:rFonts w:eastAsia="Tahoma"/>
        </w:rPr>
      </w:r>
    </w:p>
    <w:p>
      <w:pPr>
        <w:numPr>
          <w:ilvl w:val="0"/>
          <w:numId w:val="118"/>
        </w:numPr>
        <w:contextualSpacing/>
        <w:jc w:val="both"/>
        <w:rPr>
          <w:rFonts w:eastAsia="Tahoma"/>
        </w:rPr>
      </w:pPr>
      <w:r>
        <w:t xml:space="preserve">Понимание деятельности аудируемого лица. Отраслевые, правовые и другие внешние факторы, влияющие на деятельность страховых организаций, и связанные с ними риски;</w:t>
      </w:r>
      <w:r>
        <w:rPr>
          <w:rFonts w:eastAsia="Tahoma"/>
        </w:rPr>
      </w:r>
    </w:p>
    <w:p>
      <w:pPr>
        <w:numPr>
          <w:ilvl w:val="0"/>
          <w:numId w:val="118"/>
        </w:numPr>
        <w:contextualSpacing/>
        <w:jc w:val="both"/>
      </w:pPr>
      <w:r>
        <w:t xml:space="preserve">Особенности организации внутреннего аудита в страховых организациях и рассмотрение результатов его работы в </w:t>
      </w:r>
      <w:r>
        <w:rPr>
          <w:rFonts w:eastAsia="Tahoma"/>
        </w:rPr>
        <w:t xml:space="preserve">аудите</w:t>
      </w:r>
      <w:r>
        <w:t xml:space="preserve">;</w:t>
      </w:r>
      <w:r/>
    </w:p>
    <w:p>
      <w:pPr>
        <w:numPr>
          <w:ilvl w:val="0"/>
          <w:numId w:val="118"/>
        </w:numPr>
        <w:contextualSpacing/>
        <w:jc w:val="both"/>
      </w:pPr>
      <w:r>
        <w:t xml:space="preserve">Особенности применения правил независимости при аудите страховых организаций.</w:t>
      </w:r>
      <w:r/>
    </w:p>
    <w:p>
      <w:pPr>
        <w:numPr>
          <w:ilvl w:val="0"/>
          <w:numId w:val="118"/>
        </w:numPr>
        <w:contextualSpacing/>
        <w:jc w:val="both"/>
        <w:spacing w:after="148" w:line="266" w:lineRule="auto"/>
      </w:pPr>
      <w:r>
        <w:t xml:space="preserve">Типовые вопросы и нарушения при составлении аудиторских заключений страховых организаций.</w:t>
      </w:r>
      <w:r/>
    </w:p>
    <w:p>
      <w:pPr>
        <w:ind w:left="675"/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понимание отраслевых стандартов бухгалтерского учета, правил составления бухгалтерской (финансовой) отчетности страховых организаций, особенностей проведения аудита страховых организаций.</w:t>
      </w:r>
      <w:r/>
    </w:p>
    <w:p>
      <w:pPr>
        <w:jc w:val="both"/>
        <w:keepNext/>
        <w:outlineLvl w:val="0"/>
      </w:pPr>
      <w:r/>
      <w:r/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b/>
          <w:bCs/>
        </w:rPr>
        <w:t xml:space="preserve">6-5-05 </w:t>
      </w:r>
      <w:r>
        <w:rPr>
          <w:rFonts w:eastAsiaTheme="minorHAnsi"/>
          <w:b/>
          <w:lang w:eastAsia="en-US"/>
        </w:rPr>
        <w:t xml:space="preserve">«СОСТАВ И СОДЕРЖАНИЕ ФИНАНСОВОЙ ОТЧЕТНОСТИ ПО МСФО СТРАХОВЫХ ОРГАНИЗАЦИЙ: ПРЕДСТАВЛЕНИЕ ИНФОРМАЦИИ И ЕЕ ДОПОЛНИТЕЛЬНОЕ РАСКРЫТИЕ» </w:t>
      </w:r>
      <w:r>
        <w:rPr>
          <w:rFonts w:eastAsiaTheme="minorHAnsi"/>
          <w:b/>
          <w:lang w:eastAsia="en-US"/>
        </w:rPr>
      </w:r>
    </w:p>
    <w:p>
      <w:pPr>
        <w:jc w:val="both"/>
      </w:pPr>
      <w:r/>
      <w:r/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8 академических часов.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Цель программы</w:t>
      </w:r>
      <w:r>
        <w:t xml:space="preserve"> – углубление знаний аудиторов и руководителей аудита общественно значимых организаций, желающих специализиров</w:t>
      </w:r>
      <w:r>
        <w:t xml:space="preserve">аться на аудите страховых организаций, в части страхового законодательства, особенностей деятельности страховых организаций, организации бухгалтерского учета в отношении применения требований МСФО при подготовке финансовой отчетности страховых организаций.</w:t>
      </w:r>
      <w:r>
        <w:rPr>
          <w:b/>
          <w:bCs/>
        </w:rPr>
      </w:r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Тема 1. Основные формы финансовой отчетности страховых организаций</w:t>
      </w:r>
      <w:r>
        <w:rPr>
          <w:b/>
          <w:bCs/>
        </w:rPr>
      </w:r>
    </w:p>
    <w:p>
      <w:pPr>
        <w:jc w:val="both"/>
      </w:pPr>
      <w:r/>
      <w:r/>
    </w:p>
    <w:p>
      <w:pPr>
        <w:numPr>
          <w:ilvl w:val="0"/>
          <w:numId w:val="74"/>
        </w:numPr>
        <w:contextualSpacing/>
        <w:jc w:val="both"/>
      </w:pPr>
      <w:r>
        <w:t xml:space="preserve">Бухгалтерский баланс страховой организации;</w:t>
      </w:r>
      <w:r/>
    </w:p>
    <w:p>
      <w:pPr>
        <w:numPr>
          <w:ilvl w:val="0"/>
          <w:numId w:val="74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Отчет о финансовых результатах </w:t>
      </w:r>
      <w:r>
        <w:t xml:space="preserve">страховой организации;</w:t>
      </w:r>
      <w:r>
        <w:rPr>
          <w:rFonts w:eastAsia="Tahoma"/>
        </w:rPr>
      </w:r>
    </w:p>
    <w:p>
      <w:pPr>
        <w:numPr>
          <w:ilvl w:val="0"/>
          <w:numId w:val="74"/>
        </w:numPr>
        <w:contextualSpacing/>
        <w:jc w:val="both"/>
        <w:rPr>
          <w:rFonts w:eastAsia="Tahoma"/>
        </w:rPr>
      </w:pPr>
      <w:r>
        <w:t xml:space="preserve">Отчет об изменениях собственного капитала страховой организации;</w:t>
      </w:r>
      <w:r>
        <w:rPr>
          <w:rFonts w:eastAsia="Tahoma"/>
        </w:rPr>
      </w:r>
    </w:p>
    <w:p>
      <w:pPr>
        <w:numPr>
          <w:ilvl w:val="0"/>
          <w:numId w:val="74"/>
        </w:numPr>
        <w:contextualSpacing/>
        <w:jc w:val="both"/>
        <w:rPr>
          <w:rFonts w:eastAsia="Tahoma"/>
        </w:rPr>
      </w:pPr>
      <w:r>
        <w:t xml:space="preserve">Отчет о движении денежных средств страховщика.</w:t>
      </w:r>
      <w:r>
        <w:rPr>
          <w:rFonts w:eastAsia="Tahoma"/>
        </w:rPr>
      </w:r>
    </w:p>
    <w:p>
      <w:pPr>
        <w:ind w:left="675"/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2. Раскрытие информации страховых организаций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75"/>
        </w:numPr>
        <w:contextualSpacing/>
        <w:jc w:val="both"/>
      </w:pPr>
      <w:r>
        <w:rPr>
          <w:rFonts w:eastAsia="Tahoma"/>
          <w:shd w:val="clear" w:color="auto" w:fill="ffffff"/>
        </w:rPr>
        <w:t xml:space="preserve">Раскрытие основной деятельности страховщика;</w:t>
      </w:r>
      <w:r/>
    </w:p>
    <w:p>
      <w:pPr>
        <w:numPr>
          <w:ilvl w:val="0"/>
          <w:numId w:val="75"/>
        </w:numPr>
        <w:contextualSpacing/>
        <w:jc w:val="both"/>
      </w:pPr>
      <w:r>
        <w:rPr>
          <w:rFonts w:eastAsia="Tahoma"/>
          <w:shd w:val="clear" w:color="auto" w:fill="ffffff"/>
        </w:rPr>
        <w:t xml:space="preserve">Раскрытие экономической среды, в которой страховщик осуществляет свою деятельность;</w:t>
      </w:r>
      <w:r/>
    </w:p>
    <w:p>
      <w:pPr>
        <w:numPr>
          <w:ilvl w:val="0"/>
          <w:numId w:val="75"/>
        </w:numPr>
        <w:contextualSpacing/>
        <w:jc w:val="both"/>
      </w:pPr>
      <w:r>
        <w:rPr>
          <w:rFonts w:eastAsia="Tahoma"/>
          <w:shd w:val="clear" w:color="auto" w:fill="ffffff"/>
        </w:rPr>
        <w:t xml:space="preserve">Принципы учетной политики, важные бухгалтерские оценки и профессиональные суждения в применении учетной политики; </w:t>
      </w:r>
      <w:r/>
    </w:p>
    <w:p>
      <w:pPr>
        <w:numPr>
          <w:ilvl w:val="0"/>
          <w:numId w:val="6"/>
        </w:numPr>
        <w:ind w:left="675"/>
        <w:jc w:val="both"/>
      </w:pPr>
      <w:r>
        <w:t xml:space="preserve">Раскрытие отдельных статей финансовой отчетности;</w:t>
      </w:r>
      <w:r/>
    </w:p>
    <w:p>
      <w:pPr>
        <w:numPr>
          <w:ilvl w:val="0"/>
          <w:numId w:val="6"/>
        </w:numPr>
        <w:ind w:left="675"/>
        <w:jc w:val="both"/>
      </w:pPr>
      <w:r>
        <w:t xml:space="preserve">Резервы и доля перестраховщиков в резервах по страхованию;</w:t>
      </w:r>
      <w:r/>
    </w:p>
    <w:p>
      <w:pPr>
        <w:numPr>
          <w:ilvl w:val="0"/>
          <w:numId w:val="6"/>
        </w:numPr>
        <w:ind w:left="675"/>
        <w:jc w:val="both"/>
      </w:pPr>
      <w:r>
        <w:t xml:space="preserve">Страховые премии по операциям страхования, </w:t>
      </w:r>
      <w:r>
        <w:t xml:space="preserve">сострахования</w:t>
      </w:r>
      <w:r>
        <w:t xml:space="preserve">, перестрахования;</w:t>
      </w:r>
      <w:r/>
    </w:p>
    <w:p>
      <w:pPr>
        <w:numPr>
          <w:ilvl w:val="0"/>
          <w:numId w:val="6"/>
        </w:numPr>
        <w:ind w:left="675"/>
        <w:jc w:val="both"/>
      </w:pPr>
      <w:r>
        <w:t xml:space="preserve">Состоявшиеся убытки по страхованию;</w:t>
      </w:r>
      <w:r/>
    </w:p>
    <w:p>
      <w:pPr>
        <w:numPr>
          <w:ilvl w:val="0"/>
          <w:numId w:val="6"/>
        </w:numPr>
        <w:ind w:left="675"/>
        <w:jc w:val="both"/>
      </w:pPr>
      <w:r>
        <w:t xml:space="preserve">Расходы по ведению операций по страхованию, </w:t>
      </w:r>
      <w:r>
        <w:t xml:space="preserve">сострахованию</w:t>
      </w:r>
      <w:r>
        <w:t xml:space="preserve">, перестрахованию;</w:t>
      </w:r>
      <w:r/>
    </w:p>
    <w:p>
      <w:pPr>
        <w:numPr>
          <w:ilvl w:val="0"/>
          <w:numId w:val="6"/>
        </w:numPr>
        <w:ind w:left="675"/>
        <w:jc w:val="both"/>
      </w:pPr>
      <w:r>
        <w:t xml:space="preserve">Управление рисками;</w:t>
      </w:r>
      <w:r/>
    </w:p>
    <w:p>
      <w:pPr>
        <w:numPr>
          <w:ilvl w:val="0"/>
          <w:numId w:val="6"/>
        </w:numPr>
        <w:ind w:left="675"/>
        <w:jc w:val="both"/>
      </w:pPr>
      <w:r>
        <w:t xml:space="preserve">Условные обязательства.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понима</w:t>
      </w:r>
      <w:r>
        <w:t xml:space="preserve">ние отраслевых стандартов бухгалтерского учета, бухгалтерской (финансовой) отчетности страховых организаций,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b/>
          <w:bCs/>
        </w:rPr>
        <w:t xml:space="preserve">6-5-06 </w:t>
      </w:r>
      <w:r>
        <w:rPr>
          <w:rFonts w:eastAsiaTheme="minorHAnsi"/>
          <w:b/>
          <w:lang w:eastAsia="en-US"/>
        </w:rPr>
        <w:t xml:space="preserve">«НОВЫЕ МСФО. АКТУАЛЬНЫЕ ВОПРОСЫ ПРИМЕНЕНИЯ ПРИ АУДИТЕ СТРАХОВЫХ ОРГАНИЗАЦИЙ» </w:t>
      </w:r>
      <w:r>
        <w:rPr>
          <w:rFonts w:eastAsiaTheme="minorHAnsi"/>
          <w:b/>
          <w:lang w:eastAsia="en-US"/>
        </w:rPr>
      </w:r>
    </w:p>
    <w:p>
      <w:pPr>
        <w:jc w:val="both"/>
      </w:pPr>
      <w:r/>
      <w:r/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8 академических часов.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Цель программы</w:t>
      </w:r>
      <w:r>
        <w:t xml:space="preserve"> – углубление знаний аудиторов и руководителей аудита общественно значимых организаций, желающих специализироваться на аудите страховых организаций, в отношении применения требований МСФО и особенностей проведения аудита страховых организаций.</w:t>
      </w:r>
      <w:r>
        <w:rPr>
          <w:b/>
          <w:bCs/>
        </w:rPr>
      </w:r>
    </w:p>
    <w:p>
      <w:pPr>
        <w:jc w:val="both"/>
      </w:pPr>
      <w:r/>
      <w:r/>
    </w:p>
    <w:p>
      <w:pPr>
        <w:ind w:right="-1"/>
        <w:jc w:val="both"/>
        <w:rPr>
          <w:b/>
        </w:rPr>
      </w:pPr>
      <w:r>
        <w:rPr>
          <w:b/>
        </w:rPr>
        <w:t xml:space="preserve">Тема 1. Применение новых редакций международных стандартов финансовой отчетности в страховых организациях</w:t>
      </w:r>
      <w:r>
        <w:rPr>
          <w:b/>
        </w:rPr>
      </w:r>
    </w:p>
    <w:p>
      <w:pPr>
        <w:ind w:right="-1"/>
        <w:jc w:val="both"/>
      </w:pPr>
      <w:r/>
      <w:r/>
    </w:p>
    <w:p>
      <w:pPr>
        <w:numPr>
          <w:ilvl w:val="0"/>
          <w:numId w:val="76"/>
        </w:numPr>
        <w:contextualSpacing/>
        <w:jc w:val="both"/>
      </w:pPr>
      <w:r>
        <w:t xml:space="preserve">Международный стандарт финансовой отчетности (IFRS) 17 «Договоры страхования»</w:t>
      </w:r>
      <w:r/>
    </w:p>
    <w:p>
      <w:pPr>
        <w:numPr>
          <w:ilvl w:val="0"/>
          <w:numId w:val="76"/>
        </w:numPr>
        <w:contextualSpacing/>
        <w:jc w:val="both"/>
      </w:pPr>
      <w:r>
        <w:t xml:space="preserve">Международный стандарт финансовой отчетности (IAS) 34 «Промежуточная отчетность» </w:t>
      </w:r>
      <w:r/>
    </w:p>
    <w:p>
      <w:pPr>
        <w:numPr>
          <w:ilvl w:val="0"/>
          <w:numId w:val="76"/>
        </w:numPr>
        <w:contextualSpacing/>
        <w:jc w:val="both"/>
      </w:pPr>
      <w:r>
        <w:t xml:space="preserve">Прочие международные стандарты финансовой отчетности</w:t>
      </w:r>
      <w:r/>
    </w:p>
    <w:p>
      <w:pPr>
        <w:contextualSpacing/>
        <w:ind w:left="720"/>
        <w:jc w:val="both"/>
        <w:rPr>
          <w:rFonts w:eastAsia="Tahoma"/>
        </w:rPr>
      </w:pPr>
      <w:r>
        <w:rPr>
          <w:rFonts w:eastAsia="Tahoma"/>
        </w:rPr>
      </w:r>
      <w:r>
        <w:rPr>
          <w:rFonts w:eastAsia="Tahoma"/>
        </w:rPr>
      </w:r>
    </w:p>
    <w:p>
      <w:pPr>
        <w:jc w:val="both"/>
        <w:rPr>
          <w:b/>
          <w:bCs/>
        </w:rPr>
      </w:pPr>
      <w:r>
        <w:rPr>
          <w:b/>
          <w:bCs/>
        </w:rPr>
        <w:t xml:space="preserve">Тема 2. Вопросы применения при аудите страховых организаций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numPr>
          <w:ilvl w:val="0"/>
          <w:numId w:val="77"/>
        </w:numPr>
        <w:contextualSpacing/>
        <w:jc w:val="both"/>
      </w:pPr>
      <w:r>
        <w:t xml:space="preserve">Международные стандарты финансовой отчетности, применимые для страховщиков. </w:t>
      </w:r>
      <w:r/>
    </w:p>
    <w:p>
      <w:pPr>
        <w:numPr>
          <w:ilvl w:val="0"/>
          <w:numId w:val="77"/>
        </w:numPr>
        <w:contextualSpacing/>
        <w:jc w:val="both"/>
      </w:pPr>
      <w:r>
        <w:t xml:space="preserve">Консолидированная финансовая отчетность</w:t>
      </w:r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понима</w:t>
      </w:r>
      <w:r>
        <w:t xml:space="preserve">ние отраслевых стандартов бухгалтерского учета, бухгалтерской (финансовой) отчетности страховых организаций,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rFonts w:eastAsiaTheme="minorHAnsi"/>
          <w:b/>
          <w:lang w:eastAsia="en-US"/>
        </w:rPr>
        <w:t xml:space="preserve">6-5-07 «МСФО (IFRS) 17: ДОГОВОРЫ СТРАХОВАНИЯ»</w:t>
      </w:r>
      <w:r>
        <w:rPr>
          <w:rFonts w:eastAsiaTheme="minorHAnsi"/>
          <w:b/>
          <w:lang w:eastAsia="en-US"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8 академических часов.</w:t>
      </w:r>
      <w:r/>
    </w:p>
    <w:p>
      <w:pPr>
        <w:jc w:val="both"/>
      </w:pPr>
      <w:r/>
      <w:r/>
    </w:p>
    <w:p>
      <w:pPr>
        <w:jc w:val="both"/>
      </w:pPr>
      <w:r>
        <w:rPr>
          <w:b/>
        </w:rPr>
        <w:t xml:space="preserve">Цель программы</w:t>
      </w:r>
      <w:r>
        <w:t xml:space="preserve"> - углубление знаний аудиторов и руководителей ауд</w:t>
      </w:r>
      <w:r>
        <w:t xml:space="preserve">ита общественно значимых организаций, желающих специализироваться на аудите страховых организаций, в части страхового законодательства, особенностей деятельности страховых организаций, бухгалтерского учета, требований МСФО (IFRS) 17 «Договоры страхования».</w:t>
      </w:r>
      <w:r/>
    </w:p>
    <w:p>
      <w:pPr>
        <w:jc w:val="both"/>
      </w:pPr>
      <w:r>
        <w:t xml:space="preserve"> </w:t>
      </w:r>
      <w:r/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История и предпосылки разработки стандарта МСФО (IFRS) 17 «Договоры страхования». 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Ключевые определения стандарта. Область применения. Исключения.  Понятие договора страхования, значительного страхового риска, инвестиционного договора с условиями дискреционного участия, договоры с зафиксированной суммой вознаграждения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Понятие обременительных договоров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Выделение встроенных компонентов 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Агрегирование договоров 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Первоначальное признание. Момент первоначального признания. Краткие характеристики трех моделей: Общая модель (BBA), Подход на основе распределения премии (PPA), Модель для договоров с прямым участием (VFA) 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Общая модель (BBA). Порядок признания. Последующий учет. Оценки, актуарные допущения. Модификации, прекращение признания. Практический пример учета по Общей модели (BBA)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Подход на основе распределения премий (PPA). Отличия, особенности применения. Практический пример учета PPA.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Модель на основе учета переменного вознаграждения (VFA). Отличия, особенности применения. Практический пример учета VFA.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Учет операций перестрахования. 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Формирование показателей отчетности. Требования в части раскрытий.</w:t>
      </w:r>
      <w:r>
        <w:rPr>
          <w:rFonts w:eastAsia="Tahoma"/>
        </w:rPr>
      </w:r>
    </w:p>
    <w:p>
      <w:pPr>
        <w:numPr>
          <w:ilvl w:val="0"/>
          <w:numId w:val="51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Переход на МСФО (IFRS) 17. Основные этапы перехода. Возможные сложности. Влияние стандарта на деятельность организаций.</w:t>
      </w:r>
      <w:r>
        <w:rPr>
          <w:rFonts w:eastAsia="Tahoma"/>
        </w:rPr>
      </w:r>
    </w:p>
    <w:p>
      <w:pPr>
        <w:contextualSpacing/>
        <w:ind w:left="720"/>
        <w:jc w:val="both"/>
        <w:rPr>
          <w:rFonts w:eastAsia="Tahoma"/>
        </w:rPr>
      </w:pPr>
      <w:r>
        <w:rPr>
          <w:rFonts w:eastAsia="Tahoma"/>
        </w:rPr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</w:pPr>
      <w:r>
        <w:t xml:space="preserve">Глубокое и де</w:t>
      </w:r>
      <w:r>
        <w:t xml:space="preserve">тальное понимание международного стандарта финансовой отчетности МСФО (IFRS) 17 «Договоры страхования», его применения в финансово-хозяйственной деятельности аудируемых лиц и при осуществлении аудита и консалтинга аудиторскими организациями (аудиторами).  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/>
      <w:r/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rFonts w:eastAsiaTheme="minorHAnsi"/>
          <w:b/>
          <w:lang w:eastAsia="en-US"/>
        </w:rPr>
        <w:t xml:space="preserve">6-5-07/1 «МСФО (IFRS) 17: ДОГОВОРЫ СТРАХОВАНИЯ»</w:t>
      </w:r>
      <w:r>
        <w:rPr>
          <w:rFonts w:eastAsiaTheme="minorHAnsi"/>
          <w:b/>
          <w:lang w:eastAsia="en-US"/>
        </w:rPr>
      </w:r>
    </w:p>
    <w:p>
      <w:pPr>
        <w:contextualSpacing/>
        <w:ind w:left="360"/>
        <w:jc w:val="both"/>
        <w:rPr>
          <w:rFonts w:eastAsia="Tahoma"/>
          <w:b/>
          <w:bCs/>
        </w:rPr>
      </w:pPr>
      <w:r>
        <w:rPr>
          <w:rFonts w:eastAsia="Tahoma"/>
          <w:b/>
          <w:bCs/>
        </w:rPr>
      </w:r>
      <w:r>
        <w:rPr>
          <w:rFonts w:eastAsia="Tahoma"/>
          <w:b/>
          <w:bCs/>
        </w:rPr>
      </w:r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4 академических часов.</w:t>
      </w:r>
      <w:r/>
    </w:p>
    <w:p>
      <w:pPr>
        <w:jc w:val="both"/>
      </w:pPr>
      <w:r/>
      <w:r/>
    </w:p>
    <w:p>
      <w:pPr>
        <w:jc w:val="both"/>
      </w:pPr>
      <w:r>
        <w:rPr>
          <w:b/>
        </w:rPr>
        <w:t xml:space="preserve">Цель программы </w:t>
      </w:r>
      <w:r>
        <w:t xml:space="preserve">- углубление знаний аудиторов и руководителей аудита общественно значимых организаций, желающих специализироваться на аудите страховых организаций, в части МСФО (IFRS) 17 «Договоры страхования».</w:t>
      </w:r>
      <w:r/>
    </w:p>
    <w:p>
      <w:pPr>
        <w:jc w:val="both"/>
      </w:pPr>
      <w:r/>
      <w:r/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Предпосылки разработки стандарта МСФО (IFRS) 17 «Договоры страхования». 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Основные положения МСФО (IFRS) 17. 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Составляющие договора. Выделение и правила учета составляющих частей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Агрегирование договоров. Правила сегментации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Общая модель (Building Block </w:t>
      </w:r>
      <w:r>
        <w:rPr>
          <w:rFonts w:eastAsia="Tahoma"/>
        </w:rPr>
        <w:t xml:space="preserve">Approach</w:t>
      </w:r>
      <w:r>
        <w:rPr>
          <w:rFonts w:eastAsia="Tahoma"/>
        </w:rPr>
        <w:t xml:space="preserve">), Подход на основе распределения премий (Premium </w:t>
      </w:r>
      <w:r>
        <w:rPr>
          <w:rFonts w:eastAsia="Tahoma"/>
        </w:rPr>
        <w:t xml:space="preserve">Allocation</w:t>
      </w:r>
      <w:r>
        <w:rPr>
          <w:rFonts w:eastAsia="Tahoma"/>
        </w:rPr>
        <w:t xml:space="preserve"> </w:t>
      </w:r>
      <w:r>
        <w:rPr>
          <w:rFonts w:eastAsia="Tahoma"/>
        </w:rPr>
        <w:t xml:space="preserve">Approach</w:t>
      </w:r>
      <w:r>
        <w:rPr>
          <w:rFonts w:eastAsia="Tahoma"/>
        </w:rPr>
        <w:t xml:space="preserve">). Отличия, особенности применения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Группа договоров страхования с условиями прямого участия 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Модель на основе учета переменного вознаграждения (</w:t>
      </w:r>
      <w:r>
        <w:rPr>
          <w:rFonts w:eastAsia="Tahoma"/>
        </w:rPr>
        <w:t xml:space="preserve">Variable</w:t>
      </w:r>
      <w:r>
        <w:rPr>
          <w:rFonts w:eastAsia="Tahoma"/>
        </w:rPr>
        <w:t xml:space="preserve"> </w:t>
      </w:r>
      <w:r>
        <w:rPr>
          <w:rFonts w:eastAsia="Tahoma"/>
        </w:rPr>
        <w:t xml:space="preserve">Fee</w:t>
      </w:r>
      <w:r>
        <w:rPr>
          <w:rFonts w:eastAsia="Tahoma"/>
        </w:rPr>
        <w:t xml:space="preserve"> </w:t>
      </w:r>
      <w:r>
        <w:rPr>
          <w:rFonts w:eastAsia="Tahoma"/>
        </w:rPr>
        <w:t xml:space="preserve">Approach</w:t>
      </w:r>
      <w:r>
        <w:rPr>
          <w:rFonts w:eastAsia="Tahoma"/>
        </w:rPr>
        <w:t xml:space="preserve">)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Учет операций перестрахования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Формирование показателей отчетности. Требования в части раскрытий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Переход на МСФО (IFRS) 17.</w:t>
      </w:r>
      <w:r>
        <w:rPr>
          <w:rFonts w:eastAsia="Tahoma"/>
        </w:rPr>
      </w:r>
    </w:p>
    <w:p>
      <w:pPr>
        <w:numPr>
          <w:ilvl w:val="0"/>
          <w:numId w:val="52"/>
        </w:numPr>
        <w:contextualSpacing/>
        <w:ind w:left="360"/>
        <w:jc w:val="both"/>
        <w:rPr>
          <w:rFonts w:eastAsia="Tahoma"/>
        </w:rPr>
      </w:pPr>
      <w:r>
        <w:rPr>
          <w:rFonts w:eastAsia="Tahoma"/>
        </w:rPr>
        <w:t xml:space="preserve">Влияние стандарта на деятельность организаций.</w:t>
      </w:r>
      <w:r>
        <w:rPr>
          <w:rFonts w:eastAsia="Tahoma"/>
        </w:rPr>
      </w:r>
    </w:p>
    <w:p>
      <w:pPr>
        <w:contextualSpacing/>
        <w:ind w:left="360"/>
        <w:jc w:val="both"/>
        <w:rPr>
          <w:rFonts w:eastAsia="Tahoma"/>
        </w:rPr>
      </w:pPr>
      <w:r>
        <w:rPr>
          <w:rFonts w:eastAsia="Tahoma"/>
        </w:rPr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</w:pPr>
      <w:r>
        <w:t xml:space="preserve">Де</w:t>
      </w:r>
      <w:r>
        <w:t xml:space="preserve">тальное понимание международного стандарта финансовой отчетности МСФО (IFRS) 17 «Договоры страхования», его применения в финансово-хозяйственной деятельности аудируемых лиц и при осуществлении аудита и консалтинга аудиторскими организациями (аудиторами).  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6-5-08 «СУЩЕСТВЕННЫЕ ДЛЯ АУДИТА НЕГОСУДАРСТВЕННОГО ПЕНСИОННОГО ФОНДА (НПФ) РЕГУЛЯТОРНЫЕ И НАДЗОРНЫЕ ТРЕБОВАНИЯ К ЕГО ДЕЯТЕЛЬНОСТИ»</w:t>
      </w:r>
      <w:r>
        <w:rPr>
          <w:b/>
          <w:bCs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rPr>
          <w:b/>
        </w:rPr>
        <w:t xml:space="preserve">Продолжительность обучения </w:t>
      </w:r>
      <w:r>
        <w:t xml:space="preserve">— 16 академических часов.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rPr>
          <w:b/>
        </w:rPr>
        <w:t xml:space="preserve">Цель программы </w:t>
      </w:r>
      <w:r>
        <w:t xml:space="preserve">— углубление знаний, выработка отдельных навыков, совершен</w:t>
      </w:r>
      <w:r>
        <w:t xml:space="preserve">ствование профессиональных компетенций аудиторов, аудиторов и руководителей аудита негосударственного пенсионного фонда как общественно значимой организации на финансовом рынке, в том числе аудиторов, претендующих на назначение руководителем такого аудита.</w:t>
      </w:r>
      <w:r/>
    </w:p>
    <w:p>
      <w:pPr>
        <w:ind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  <w:rPr>
          <w:b/>
        </w:rPr>
      </w:pPr>
      <w:r>
        <w:rPr>
          <w:b/>
        </w:rPr>
        <w:t xml:space="preserve">Тема 1. Правовое регулирование НПФ. Участие аудиторской организации на финансовом рынке в реализации Банком России контрольных и надзорных функций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1.1</w:t>
      </w:r>
      <w:r>
        <w:t xml:space="preserve">.</w:t>
      </w:r>
      <w:r>
        <w:t xml:space="preserve"> Взаимодействие аудиторской организации на финансовом рынке и Банка России в п</w:t>
      </w:r>
      <w:r>
        <w:t xml:space="preserve">роцессе реализации Банком России контрольных, надзорных функций в сфере финансового рынка, корпоративных отношений, в том числе в отношении НПФ. Обязанности, права, ответственность аудиторской организации, Банка России. Требования к порядку взаимодействия.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1.2</w:t>
      </w:r>
      <w:r>
        <w:t xml:space="preserve">.</w:t>
      </w:r>
      <w:r>
        <w:t xml:space="preserve"> Нормативно-правовое регулирование НПФ. Обзор законодательных, подзаконных нормативных актов, в том числе нормативных актов Банка России, в сфере негосударственного пенсионного обеспечения. Полномочия Минтруда России, Минфин</w:t>
      </w:r>
      <w:r>
        <w:t xml:space="preserve">а России в государственном регулировании деятельности НПФ. Регуляторные, контрольные и надзорные функции Банка России в отношении НПФ. Базовые и внутренние стандарты для членов саморегулируемых организаций (СРО) в сфере финансового рынка, объединяющих НПФ.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1.3</w:t>
      </w:r>
      <w:r>
        <w:t xml:space="preserve">.</w:t>
      </w:r>
      <w:r>
        <w:t xml:space="preserve"> Основные понятия и принципы функционирования НПФ (с иллюстрацией практических примеров пр</w:t>
      </w:r>
      <w:r>
        <w:t xml:space="preserve">авоотношений из деятельности НПФ). Негосударственный пенсионный фонд. Негосударственное пенсионное обеспечение и пенсионное страхование. Управляющая компания (УК) НПФ. Пенсионные основания. Досрочное негосударственное пенсионное обеспечение. Пенсионная про</w:t>
      </w:r>
      <w:r>
        <w:t xml:space="preserve">грамма работодателя. Основные типы договоров по негосударственному пенсионному обеспечению и пенсионному страхованию. Страхователь и застрахованное лицо. Пенсионный и страховой взнос. Пенсионные схемы. Выкупная сумма. Виды пенсионных счетов, включая именно</w:t>
      </w:r>
      <w:r>
        <w:t xml:space="preserve">й и солидарный пенсионный счет. Правила НПФ. Пенсионные резервы и накопления. Инвестиционный портфель и результаты размещения пенсионных резервов, инвестирования средств пенсионных накоплений. Инвестиционная декларация. Актуарный дефицит. Выплатной резерв.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1.4</w:t>
      </w:r>
      <w:r>
        <w:t xml:space="preserve">.</w:t>
      </w:r>
      <w:r>
        <w:t xml:space="preserve"> Субъекты отношений по негосударственному пенсионному обеспечению, обязательному пенсионному страхованию, их основные пр</w:t>
      </w:r>
      <w:r>
        <w:t xml:space="preserve">ава, обязанности, взаимодействие: НПФ, Социальный фонд России (ранее — ПФР), специализированный депозитарий, УК, вкладчики, участники, застрахованные лица, страхователи. Иллюстрация взаимодействия указанных субъектов с использованием практических примеров.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2. Регуляторные требования к НПФ, его собственникам, органам управления и должностным лицам, осуществлению деятельности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2.1</w:t>
      </w:r>
      <w:r>
        <w:t xml:space="preserve">.</w:t>
      </w:r>
      <w:r>
        <w:t xml:space="preserve"> Ключевые требования к организации деятельности НПФ. Организационно-правовая форма НПФ. Государственная регистрация НПФ и регистрация выпуска его акций. Основные лицензионные условия. Учредительные документы. Уставной капитал. Собственные средства.</w:t>
      </w:r>
      <w:r/>
    </w:p>
    <w:p>
      <w:pPr>
        <w:ind w:right="-113"/>
        <w:jc w:val="both"/>
        <w:rPr>
          <w:bCs/>
        </w:rPr>
      </w:pPr>
      <w:r>
        <w:t xml:space="preserve">2.2</w:t>
      </w:r>
      <w:r>
        <w:t xml:space="preserve">.</w:t>
      </w:r>
      <w:r>
        <w:t xml:space="preserve"> Контролирующие лица НПФ. Ключевые </w:t>
      </w:r>
      <w:r>
        <w:rPr>
          <w:bCs/>
        </w:rPr>
        <w:t xml:space="preserve">требования к лицам, имеющим право распоряжаться более 10 процентами акций, с</w:t>
      </w:r>
      <w:r>
        <w:rPr>
          <w:bCs/>
        </w:rPr>
        <w:t xml:space="preserve">оставляющих уставный капитал НПФ. Основные особенности требований к деловой репутации и финансовому положению. Обязанности НПФ по определению и предоставлению в Банк России информации о контролирующих НПФ лицах. Особенности совершения сделок с акциями НПФ.</w:t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</w:pPr>
      <w:r>
        <w:rPr>
          <w:bCs/>
        </w:rPr>
        <w:t xml:space="preserve">2.3</w:t>
      </w:r>
      <w:r>
        <w:rPr>
          <w:bCs/>
        </w:rPr>
        <w:t xml:space="preserve">.</w:t>
      </w:r>
      <w:r>
        <w:rPr>
          <w:bCs/>
        </w:rPr>
        <w:t xml:space="preserve"> Органы управления, контроля и должностные лица НПФ. «Обязательные» органы управления, контроля и структурные подразделения (должностные лица) НПФ. </w:t>
      </w:r>
      <w:r>
        <w:t xml:space="preserve">Требования к деловой репутации и квалификационные требования к должностным лицам НПФ. Попечительский совет.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2.4</w:t>
      </w:r>
      <w:r>
        <w:t xml:space="preserve">.</w:t>
      </w:r>
      <w:r>
        <w:t xml:space="preserve"> Отдельные т</w:t>
      </w:r>
      <w:r>
        <w:t xml:space="preserve">ребования к осуществлению деятельности НПФ. Страховые и пенсионные правила НПФ. Кодекс профессиональной этики НПФ. Состав конфиденциальной информации НПФ. Требования к сохранности документов. Требования к обеспечению хранения информации о деятельности НПФ.</w:t>
      </w:r>
      <w:r/>
    </w:p>
    <w:p>
      <w:pPr>
        <w:ind w:right="-113"/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Глубокое понимание специфики правового регулирования, контроля и надз</w:t>
      </w:r>
      <w:r>
        <w:t xml:space="preserve">ора в сферах негосударственного пенсионного обеспечения и обязательного пенсионного страхования, выработка отдельных навыков и совершенствование профессиональных компетенций, способствующих эффективному участию в аудите негосударственных пенсионных фондов.</w:t>
      </w:r>
      <w:r/>
    </w:p>
    <w:p>
      <w:pPr>
        <w:ind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6-5-09 «ИМУЩЕСТВО НПФ. РАЗМЕЩЕНИЕ ПЕНСИОННЫХ РЕЗЕРВОВ, ИНВЕСТИРОВАНИЕ ПЕНСИОННЫХ НАКОПЛЕНИЙ: НОРМАТИВЫ, ТРЕБОВАНИЯ, КОНТРОЛЬ И НАДЗОР»</w:t>
      </w:r>
      <w:r>
        <w:rPr>
          <w:b/>
          <w:bCs/>
        </w:rPr>
      </w:r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Продолжительность обучения </w:t>
      </w:r>
      <w:r>
        <w:t xml:space="preserve">— 16 академических часов.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rPr>
          <w:b/>
        </w:rPr>
        <w:t xml:space="preserve">Цель программы </w:t>
      </w:r>
      <w:r>
        <w:t xml:space="preserve">— углубление знаний, выработка отдельных навыков, совершен</w:t>
      </w:r>
      <w:r>
        <w:t xml:space="preserve">ствование профессиональных компетенций аудиторов, аудиторов и руководителей аудита негосударственного пенсионного фонда как общественно значимой организации на финансовом рынке, в том числе аудиторов, претендующих на назначение руководителем такого аудита.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1. Имущество НПФ. Актуарное оценивание деятельности НПФ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1.1</w:t>
      </w:r>
      <w:r>
        <w:t xml:space="preserve">.</w:t>
      </w:r>
      <w:r>
        <w:t xml:space="preserve"> Имущество НПФ: со</w:t>
      </w:r>
      <w:r>
        <w:t xml:space="preserve">бственные средства, пенсионные резервы и пенсионные накопления. Пенсионные резервы как сумма резервов покрытия пенсионных обязательств и страхового резерва. Страховой резерв: нормативный размер, источники, порядок формирования и использования. Резерв по об</w:t>
      </w:r>
      <w:r>
        <w:t xml:space="preserve">язательному пенсионному страхованию: источники формирования, порядок определения размера и использования. Пенсионные накопления: источники формирования, порядок использования. Требования по ведению учета пенсионных резервов и средств пенсионных накоплений.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1.2</w:t>
      </w:r>
      <w:r>
        <w:t xml:space="preserve">.</w:t>
      </w:r>
      <w:r>
        <w:t xml:space="preserve"> Актуарное оценивание деятельности НПФ. Цель и задачи</w:t>
      </w:r>
      <w:r>
        <w:t xml:space="preserve"> актуарного оценивания. Основные требования к актуарному заключению. Проверка актуарного заключения ответственным актуарием. Использование в процессе аудита сведений, содержащихся в актуарном заключении, отчете о результатах проверки актуарного заключения.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2. Размещение пенсионных резервов и инвестирование средств пенсионных накоплений</w:t>
      </w:r>
      <w:r>
        <w:rPr>
          <w:b/>
        </w:rPr>
      </w:r>
    </w:p>
    <w:p>
      <w:pPr>
        <w:ind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</w:pPr>
      <w:r>
        <w:t xml:space="preserve">2.1</w:t>
      </w:r>
      <w:r>
        <w:t xml:space="preserve">.</w:t>
      </w:r>
      <w:r>
        <w:t xml:space="preserve"> Основные принципы размещения средств пенсионных резервов и инвестирования средств пенсионных накоплений. Условия управлени</w:t>
      </w:r>
      <w:r>
        <w:t xml:space="preserve">я средствами пенсионных резервов и организации инвестирования средств пенсионных накоплений. Ограничения на совершение сделок и направление соответствующих поручений при размещении средств пенсионных резервов и инвестировании средств пенсионных накоплений.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2.2</w:t>
      </w:r>
      <w:r>
        <w:t xml:space="preserve">.</w:t>
      </w:r>
      <w:r>
        <w:t xml:space="preserve"> Обязательные условия договора доверительного управления средствами пенсионных резервов и (или) средствами пенсионных накоплений</w:t>
      </w:r>
      <w:r>
        <w:t xml:space="preserve">, заключаемого НПФ с УК, установленные Банком России. Требования к инвестиционной декларации (как составной части договора доверительного управления) при инвестировании средств пенсионных накоплений, размещении средств пенсионных резервов: описание инвести</w:t>
      </w:r>
      <w:r>
        <w:t xml:space="preserve">ционной политики УК, перечень активов, в которые могут быть инвестированы средства пенсионных накоплений или размещены средства пенсионных резервов, описание рисков, связанных с таким инвестированием или размещением, а также требования к структуре активов.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2.3</w:t>
      </w:r>
      <w:r>
        <w:t xml:space="preserve">.</w:t>
      </w:r>
      <w:r>
        <w:t xml:space="preserve"> Разрешенные, запрещенные актив</w:t>
      </w:r>
      <w:r>
        <w:t xml:space="preserve">ы (объекты инвестирования) пенсионных накоплений, а также условия размещения средств пенсионных накоплений в разрешенные активы, требования к структуре инвестиционного портфеля НПФ, установленные Федеральным законом «О негосударственных пенсионных фондах».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2.4</w:t>
      </w:r>
      <w:r>
        <w:t xml:space="preserve">.</w:t>
      </w:r>
      <w:r>
        <w:t xml:space="preserve"> Требования к договору доверительного управления средствами пенсионных накоплений. Обязанности УК, осуществляющей инвестирование средств пе</w:t>
      </w:r>
      <w:r>
        <w:t xml:space="preserve">нсионных накоплений. Требования по поддержанию достаточности собственных средств УК относительно объема обслуживаемых активов. Отчет об инвестировании средств пенсионных накоплений, отчет о доходах от инвестирования, предоставляемый УК в Банк России и НПФ.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2.5</w:t>
      </w:r>
      <w:r>
        <w:t xml:space="preserve">.</w:t>
      </w:r>
      <w:r>
        <w:t xml:space="preserve"> Порядок расчета текущей рыночной стоимости и стоимости чистых активов, находящихся в доверительном управлении по </w:t>
      </w:r>
      <w:r>
        <w:t xml:space="preserve">договору доверительного управления средствами пенсионных накоплений, порядок и сроки расчета рыночной стоимости активов, в которые размещены средства пенсионных резервов, и совокупной рыночной стоимости пенсионных резервов НПФ, установленные Банком России.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2.6</w:t>
      </w:r>
      <w:r>
        <w:t xml:space="preserve">.</w:t>
      </w:r>
      <w:r>
        <w:t xml:space="preserve"> Правила размещения средств пенсионных резервов НПФ.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2.7</w:t>
      </w:r>
      <w:r>
        <w:t xml:space="preserve">.</w:t>
      </w:r>
      <w:r>
        <w:t xml:space="preserve"> Хранение пен</w:t>
      </w:r>
      <w:r>
        <w:t xml:space="preserve">сионных резервов и средств пенсионных накоплений, размещенных (инвестированных) в ценные бумаги. Права, обязанности и ответственность специализированного депозитария в процессе управления пенсионными резервами, инвестирования средств пенсионных накоплений.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3. Нормативы, требования, контроль и надзор при размещении пенсионных резервов и инвестировании средств пенсионных накоплений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3.1</w:t>
      </w:r>
      <w:r>
        <w:t xml:space="preserve">.</w:t>
      </w:r>
      <w:r>
        <w:t xml:space="preserve"> Контроль, надзор за деятельностью по размещению средств пенсионн</w:t>
      </w:r>
      <w:r>
        <w:t xml:space="preserve">ых резервов и инвестированию средств пенсионных накоплений: функции Банка России, специализированного депозитария. Порядок устранения последствий нарушения условий управления пенсионными резервами и организации инвестирования средств пенсионных накоплений.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3.2</w:t>
      </w:r>
      <w:r>
        <w:t xml:space="preserve">.</w:t>
      </w:r>
      <w:r>
        <w:t xml:space="preserve"> Нормативные требования, осуществление контроля, надзора за:</w:t>
      </w:r>
      <w:r/>
    </w:p>
    <w:p>
      <w:pPr>
        <w:numPr>
          <w:ilvl w:val="0"/>
          <w:numId w:val="129"/>
        </w:numPr>
        <w:ind w:right="-113"/>
        <w:jc w:val="both"/>
      </w:pPr>
      <w:r>
        <w:t xml:space="preserve">соответствием состава и структуры пенсионных резервов и пенсионных накоплений НПФ, в том числе находящихся в доверительном управлении УК НПФ, установленным требованиям;</w:t>
      </w:r>
      <w:r/>
    </w:p>
    <w:p>
      <w:pPr>
        <w:numPr>
          <w:ilvl w:val="0"/>
          <w:numId w:val="129"/>
        </w:numPr>
        <w:ind w:right="-113"/>
        <w:jc w:val="both"/>
      </w:pPr>
      <w:r>
        <w:t xml:space="preserve">соответствием деятельности по распоряжению средствами пенсионных накоплений, в том числе находящимися в доверительном управлении у УК, осуществляющих инвестирование средств пенсионных накоплений, установленным требованиям;</w:t>
      </w:r>
      <w:r/>
    </w:p>
    <w:p>
      <w:pPr>
        <w:numPr>
          <w:ilvl w:val="0"/>
          <w:numId w:val="129"/>
        </w:numPr>
        <w:ind w:right="-113"/>
        <w:jc w:val="both"/>
      </w:pPr>
      <w:r>
        <w:t xml:space="preserve">соблюдением НПФ и УК НПФ ограничений на размещение средств пенсионных резервов и инвестирование средств пенсионных накоплений, правил размещения средств пенсионных резервов и требований по инвестированию средств пенсионных накоплений;</w:t>
      </w:r>
      <w:r/>
    </w:p>
    <w:p>
      <w:pPr>
        <w:numPr>
          <w:ilvl w:val="0"/>
          <w:numId w:val="129"/>
        </w:numPr>
        <w:ind w:right="-113"/>
        <w:jc w:val="both"/>
      </w:pPr>
      <w:r>
        <w:t xml:space="preserve">соблюдением НПФ и УК НПФ установленного порядка расчета текущей рыночной стоимости и стоимости чистых активов, находящихся в доверительном у</w:t>
      </w:r>
      <w:r>
        <w:t xml:space="preserve">правлении по договору доверительного управления средствами пенсионных накоплений, установленного порядка и сроков расчета рыночной стоимости активов, в которые размещены средства пенсионных резервов, и совокупной рыночной стоимости пенсионных резервов НПФ.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Глубокое понимание специфики правового регулир</w:t>
      </w:r>
      <w:r>
        <w:t xml:space="preserve">ования, контроля и надзора размещения пенсионных резервов, инвестирования пенсионных накоплений, выработка отдельных навыков и совершенствование профессиональных компетенций, способствующих эффективному участию в аудите негосударственных пенсионных фондов.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6-5-10 «ВНУТРЕННИЙ КОНТРОЛЬ, УПРАВЛЕНИЕ РИСКАМИ, ОТЧЕТНОСТЬ И РАСКРЫТИЕ ИНФОРМАЦИИ НПФ» </w:t>
      </w:r>
      <w:r>
        <w:rPr>
          <w:b/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/>
        </w:rPr>
      </w:pPr>
      <w:r>
        <w:rPr>
          <w:b/>
        </w:rPr>
        <w:t xml:space="preserve">Продолжительность обучения </w:t>
      </w:r>
      <w:r>
        <w:t xml:space="preserve">— 8 академических часов.</w:t>
      </w:r>
      <w:r>
        <w:rPr>
          <w:b/>
        </w:rPr>
      </w:r>
    </w:p>
    <w:p>
      <w:pPr>
        <w:ind w:right="-113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right="-113"/>
        <w:jc w:val="both"/>
      </w:pPr>
      <w:r>
        <w:rPr>
          <w:b/>
        </w:rPr>
        <w:t xml:space="preserve">Цель программы </w:t>
      </w:r>
      <w:r>
        <w:t xml:space="preserve">— углубление знаний, выработка отдельных навыков, совершен</w:t>
      </w:r>
      <w:r>
        <w:t xml:space="preserve">ствование профессиональных компетенций аудиторов, аудиторов и руководителей аудита негосударственного пенсионного фонда как общественно значимой организации на финансовом рынке, в том числе аудиторов, претендующих на назначение руководителем такого аудита.</w:t>
      </w:r>
      <w:r/>
    </w:p>
    <w:p>
      <w:pPr>
        <w:ind w:right="-113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Тема 1. Внутренний контроль</w:t>
      </w:r>
      <w:r>
        <w:rPr>
          <w:b/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1.1</w:t>
      </w:r>
      <w:r>
        <w:rPr>
          <w:bCs/>
        </w:rPr>
        <w:t xml:space="preserve">.</w:t>
      </w:r>
      <w:r>
        <w:rPr>
          <w:bCs/>
        </w:rPr>
        <w:t xml:space="preserve"> Система внутреннего контроля НПФ. Цели и задачи. Нормативно-правовое регулирование внутреннего контроля НПФ. Базо</w:t>
      </w:r>
      <w:r>
        <w:rPr>
          <w:bCs/>
        </w:rPr>
        <w:t xml:space="preserve">вый стандарт внутреннего контроля НПФ. Принципы организации и реализации системы внутреннего контроля НПФ. Контролер, служба внутреннего контроля. Правила внутреннего контроля и другие локальные нормативные акты, документы в сфере внутреннего контроля НПФ.</w:t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1.2</w:t>
      </w:r>
      <w:r>
        <w:rPr>
          <w:bCs/>
        </w:rPr>
        <w:t xml:space="preserve">.</w:t>
      </w:r>
      <w:r>
        <w:rPr>
          <w:bCs/>
        </w:rPr>
        <w:t xml:space="preserve"> Объе</w:t>
      </w:r>
      <w:r>
        <w:rPr>
          <w:bCs/>
        </w:rPr>
        <w:t xml:space="preserve">кты внутреннего контроля. Три «линии контроля». Процедуры внутреннего контроля и их реализация в НПФ. Отчетность по внутреннему контролю и порядок ее предоставления органам управления НПФ. Мониторинг и оценка эффективности системы внутреннего контроля НПФ.</w:t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1.3</w:t>
      </w:r>
      <w:r>
        <w:rPr>
          <w:bCs/>
        </w:rPr>
        <w:t xml:space="preserve">.</w:t>
      </w:r>
      <w:r>
        <w:rPr>
          <w:bCs/>
        </w:rPr>
        <w:t xml:space="preserve"> Организация в НПФ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(ПОД/ФТ/ФРОМУ).</w:t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Тема 2. Управление рисками</w:t>
      </w:r>
      <w:r>
        <w:rPr>
          <w:b/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2.1</w:t>
      </w:r>
      <w:r>
        <w:rPr>
          <w:bCs/>
        </w:rPr>
        <w:t xml:space="preserve">.</w:t>
      </w:r>
      <w:r>
        <w:rPr>
          <w:bCs/>
        </w:rPr>
        <w:t xml:space="preserve"> Система управления рисками НПФ. Цели и задачи. Нормативно-правовое регулирование. Лицо (структурное подразделение), ответственное за организацию системы управления рисками. Локальные нормативные акты по управлению рисками.</w:t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2.2. Виды рисков и их выявление. Организация процесса управления рисками. Требования по измерению и оценке рисков. Стресс-тестирование. Применение для проведения стресс-тестирования сценариев Банка России.</w:t>
      </w:r>
      <w:r>
        <w:rPr>
          <w:bCs/>
        </w:rPr>
      </w:r>
    </w:p>
    <w:p>
      <w:pPr>
        <w:ind w:right="-113"/>
        <w:jc w:val="both"/>
      </w:pPr>
      <w:r/>
      <w:r/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Тема 3. Отчетность и раскрытие информации</w:t>
      </w:r>
      <w:r>
        <w:rPr>
          <w:b/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3.1. Требования по предоставлению НПФ бухгалтерской (финансовой) отчетности, аудиторского заключения, заключения по результатам актуарного оценивания (актуарного заключения), отчета о результатах проверки актуарного заключения, иных сведений и документов.</w:t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3.2. Требования к составу специализированной (надзорной) отчетности НПФ: формам, срокам, порядку ее составления и предоставления в Банк России.</w:t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3.3 Отчетность, предоставляемая УК НПФ в Банк России, в части размещения средств пенсионных резервов и (или) инвестирования средств пенсионных накоплений.</w:t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3.4. Требования по составу, порядку и срокам раскрытия информации НПФ. Ограничения (освобождения) НПФ по раскрытию информации, введенные в том числе в рамках противодействия санкционному давлению.</w:t>
      </w:r>
      <w:r>
        <w:rPr>
          <w:bCs/>
        </w:rPr>
      </w:r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Пони</w:t>
      </w:r>
      <w:r>
        <w:t xml:space="preserve">мание специфики внутреннего контроля, управления рисками, отчетности и раскрытия информации НПФ, выработка отдельных навыков и совершенствование профессиональных компетенций, способствующих эффективному участию в аудите негосударственных пенсионных фондов.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6-5-11 «БУХГАЛТЕРСКИЙ УЧЕТ, ФИНАНСОВАЯ ОТЧЕТНОСТЬ В НЕГОСУДАРСТВЕННОМ ПЕНСИОННОМ ФОНДЕ (НПФ): ПРИМЕНЕНИЕ ОТРАСЛЕВЫХ СТАНДАРТОВ БУХГАЛТЕРСКОГО УЧЕТА, МСФО»</w:t>
      </w:r>
      <w:r>
        <w:rPr>
          <w:b/>
          <w:bCs/>
        </w:rPr>
      </w:r>
    </w:p>
    <w:p>
      <w:pPr>
        <w:ind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  <w:rPr>
          <w:b/>
        </w:rPr>
      </w:pPr>
      <w:r>
        <w:rPr>
          <w:b/>
        </w:rPr>
        <w:t xml:space="preserve">Продолжительность обучения </w:t>
      </w:r>
      <w:r>
        <w:t xml:space="preserve">- 32 академических часа.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rPr>
          <w:b/>
        </w:rPr>
        <w:t xml:space="preserve">Цель программы </w:t>
      </w:r>
      <w:r>
        <w:t xml:space="preserve">- углубление знаний, выработка отдельных навыков, совершен</w:t>
      </w:r>
      <w:r>
        <w:t xml:space="preserve">ствование профессиональных компетенций аудиторов, аудиторов и руководителей аудита негосударственного пенсионного фонда как общественно значимой организации на финансовом рынке, в том числе аудиторов, претендующих на назначение руководителем такого аудита.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Тема 1. Принципы, регулирование и особенности бухгалтерского учета НПФ</w:t>
      </w:r>
      <w:r>
        <w:rPr>
          <w:b/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Требования к бухгалтерскому учету НПФ по ф</w:t>
      </w:r>
      <w:r>
        <w:rPr>
          <w:bCs/>
        </w:rPr>
        <w:t xml:space="preserve">ормированию долгосрочных сбережений, обязательному пенсионному страхованию и негосударственному пенсионному обеспечению. Применение нормативных актов Банка России, определяющих порядок бухгалтерского учета операций, связанных с основной деятельностью НПФ. </w:t>
      </w:r>
      <w:r>
        <w:t xml:space="preserve">Применение НПФ МСФО (IFRS) 17 «Договоры страхования», МСФО (</w:t>
      </w:r>
      <w:r>
        <w:rPr>
          <w:lang w:val="en-US"/>
        </w:rPr>
        <w:t xml:space="preserve">IFRS</w:t>
      </w:r>
      <w:r>
        <w:t xml:space="preserve">) 9 «Финансовые инструменты». </w:t>
      </w:r>
      <w:r>
        <w:rPr>
          <w:bCs/>
        </w:rPr>
        <w:t xml:space="preserve">Применение НПФ отраслевых стандартов бухгалтерского учета (ОСБУ), являющихся «общими» для </w:t>
      </w:r>
      <w:r>
        <w:rPr>
          <w:bCs/>
        </w:rPr>
        <w:t xml:space="preserve">некредитных</w:t>
      </w:r>
      <w:r>
        <w:rPr>
          <w:bCs/>
        </w:rPr>
        <w:t xml:space="preserve"> финансовых организаций (НФО) различных типов.</w:t>
      </w:r>
      <w:r>
        <w:rPr>
          <w:bCs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/>
        </w:rPr>
      </w:pPr>
      <w:r>
        <w:rPr>
          <w:b/>
        </w:rPr>
        <w:t xml:space="preserve">Тема 2. Порядок бухгалтерского учета НПФ отдельных объектов учета и операций (принципы и примеры)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Учет основных средств, нематериальных активов. Учет инвестиционного имущества. Учет долгосроч</w:t>
      </w:r>
      <w:r>
        <w:t xml:space="preserve">ных активов, предназначенных для продажи. Учет договоров аренды. Учет отложенных налоговых обязательств и отложенных налоговых активов. Учет резервов — оценочных обязательств и условных обязательств. Учет вознаграждений работникам. Учет вознаграждения НПФ.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3. Бухгалтерский учет операций НПФ, связанных с ведением деятельности по обязательному пенсионному страхованию (ОПС), негосударственному пенсионному обеспечению (НПО), формированию долгосрочных сбережений (ДС)</w:t>
      </w:r>
      <w:r>
        <w:rPr>
          <w:b/>
        </w:rPr>
      </w:r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</w:pPr>
      <w:r>
        <w:t xml:space="preserve">Общие требования к бухгалтерскому учету договоров ОПС, НПО и ДС. Дата отражения договора в бухгалтерском учете. Классификация договоров ОПС, НПО и ДС, порядок признания и последующего отражения в бухгалтерском учете. Встроенные производные </w:t>
      </w:r>
      <w:r>
        <w:t xml:space="preserve">финансовые инструменты: необходимость их выделен</w:t>
      </w:r>
      <w:r>
        <w:t xml:space="preserve">ия и порядок бухгалтерского учета. Депозитные составляющие: необходимость их отделения и порядок бухгалтерского учета. Бухгалтерский учет доходов и расходов по договорам ОПС, НПО, ДС. Бухгалтерский учет выплат по договорам ОПС, НПО, ДС. Бухгалтерский учет </w:t>
      </w:r>
      <w:r>
        <w:t xml:space="preserve">аквизиционных</w:t>
      </w:r>
      <w:r>
        <w:t xml:space="preserve"> расходов/отложенных </w:t>
      </w:r>
      <w:r>
        <w:t xml:space="preserve">аквизиционных</w:t>
      </w:r>
      <w:r>
        <w:t xml:space="preserve"> расходов. Отражение в бухгалтерском учете результатов размещения пенсионных резервов и результата инвестирования пенсионных накоплений. Проверка адекватности обязательств. Актуарные предположения.</w:t>
      </w:r>
      <w:r/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Тема 4. Особенности бухгалтерского учета договоров ДС</w:t>
      </w:r>
      <w:r>
        <w:rPr>
          <w:b/>
          <w:bCs/>
        </w:rPr>
      </w:r>
    </w:p>
    <w:p>
      <w:pPr>
        <w:ind w:right="-113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</w:pPr>
      <w:r>
        <w:rPr>
          <w:rFonts w:eastAsiaTheme="minorHAnsi"/>
          <w:lang w:eastAsia="en-US"/>
        </w:rPr>
        <w:t xml:space="preserve">Распределение договоров ДС и</w:t>
      </w:r>
      <w:r>
        <w:rPr>
          <w:rFonts w:eastAsiaTheme="minorHAnsi"/>
          <w:lang w:eastAsia="en-US"/>
        </w:rPr>
        <w:t xml:space="preserve"> выделенных из договоров ДС отличимых инвестиционных составляющих. Разделение договоров на страховые, инвестиционные и отличимые инвестиционные составляющие. Разделение договоров на группы и подгруппы. Бухгалтерский учет договоров различного типа и групп. </w:t>
      </w:r>
      <w:r>
        <w:rPr>
          <w:rFonts w:eastAsiaTheme="minorHAnsi"/>
          <w:bCs/>
          <w:lang w:eastAsia="en-US"/>
        </w:rPr>
        <w:t xml:space="preserve">Бухгалтерский учет выделенных встроенных производных инструментов, выделенных инвестиционных составляющих, инвестиционных договоров, учитываемых в соответствии с МСФО (IFRS) 9. Бухгалтерск</w:t>
      </w:r>
      <w:r>
        <w:rPr>
          <w:rFonts w:eastAsiaTheme="minorHAnsi"/>
          <w:bCs/>
          <w:lang w:eastAsia="en-US"/>
        </w:rPr>
        <w:t xml:space="preserve">ий учет денежных потоков по договорам, учитываемым в соответствии с МСФО (IFRS) 17, до даты признания групп договоров, учитываемых в соответствии с МСФО (IFRS) 17. Отражение на счетах бухгалтерского учета договоров, учитываемых в соответствии с МСФО (IFRS)</w:t>
      </w:r>
      <w:r>
        <w:rPr>
          <w:rFonts w:eastAsiaTheme="minorHAnsi"/>
          <w:bCs/>
          <w:lang w:eastAsia="en-US"/>
        </w:rPr>
        <w:t xml:space="preserve"> 17: при первоначальном признании, после первоначального признания. Отражение на счетах бухгалтерского учета изменения, прекращения признания договоров, учитываемых в соответствии с МСФО (IFRS) 17. Бухгалтерский учет периодических (срочных и пожизненных) в</w:t>
      </w:r>
      <w:r>
        <w:rPr>
          <w:rFonts w:eastAsiaTheme="minorHAnsi"/>
          <w:bCs/>
          <w:lang w:eastAsia="en-US"/>
        </w:rPr>
        <w:t xml:space="preserve">ыплат, единовременных выплат, выплат выкупных сумм вкладчикам и (или) участникам (их правопреемникам) по договорам, учитываемым в соответствии с МСФО (IFRS) 17. Бухгалтерский учет доходов и расходов по договорам, учитываемым в соответствии с МСФО (IFRS) 17</w:t>
      </w:r>
      <w:r/>
    </w:p>
    <w:p>
      <w:pPr>
        <w:ind w:right="-113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right="-113"/>
        <w:jc w:val="both"/>
        <w:rPr>
          <w:b/>
        </w:rPr>
      </w:pPr>
      <w:r>
        <w:rPr>
          <w:b/>
        </w:rPr>
        <w:t xml:space="preserve">Тема 5. Порядок бухгалтерского учета операций с ценными бумагами и производными финансовыми инструментами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Учет активных операций с ценными бумагами: приобретение, классификация, первоначальная и последующая оценка, </w:t>
      </w:r>
      <w:r>
        <w:t xml:space="preserve">реклассификация</w:t>
      </w:r>
      <w:r>
        <w:t xml:space="preserve"> из категории в категорию, выбытие.</w:t>
      </w:r>
      <w:r/>
    </w:p>
    <w:p>
      <w:pPr>
        <w:ind w:right="-113"/>
        <w:jc w:val="both"/>
      </w:pPr>
      <w:r>
        <w:t xml:space="preserve">Учет приобретенных ценных бумаг, оцениваемых по справедливой стоимости через прибыль или убыток, а также оцениваемых по справедливой стоимости через прочий совокупный доход.</w:t>
      </w:r>
      <w:r/>
    </w:p>
    <w:p>
      <w:pPr>
        <w:ind w:right="-113"/>
        <w:jc w:val="both"/>
      </w:pPr>
      <w:r>
        <w:t xml:space="preserve">Учет по а</w:t>
      </w:r>
      <w:r>
        <w:t xml:space="preserve">мортизированной стоимости: применение метода эффективной процентной ставки, начисление процентных доходов, корректировка до амортизированной стоимости; методы расчета амортизированной Рыночные и нерыночные процентные ставки. Источники получения информации.</w:t>
      </w:r>
      <w:r/>
    </w:p>
    <w:p>
      <w:pPr>
        <w:ind w:right="-113"/>
        <w:jc w:val="both"/>
      </w:pPr>
      <w:r>
        <w:t xml:space="preserve">Оценочный резерв под обесценение. Признаки обесценения. Определение актива как кредитно-обесцененного при первоначальном признании. Ожидаемые кредитные убытки и методы их оценки. Кред</w:t>
      </w:r>
      <w:r>
        <w:t xml:space="preserve">итные риски и признаки их значительного увеличения. Определение дефолта и его признаки. Изменение методов оценки ожидаемых кредитных убытков при значительном увеличении кредитного риска, риска дефолта. Оценка риска на групповой основе (портфельный подход).</w:t>
      </w:r>
      <w:r/>
    </w:p>
    <w:p>
      <w:pPr>
        <w:ind w:right="-113"/>
        <w:jc w:val="both"/>
      </w:pPr>
      <w:r>
        <w:t xml:space="preserve">Сделки </w:t>
      </w:r>
      <w:r>
        <w:t xml:space="preserve">репо</w:t>
      </w:r>
      <w:r>
        <w:t xml:space="preserve">: порядок учета у первоначального покупателя и первоначального продавца.</w:t>
      </w:r>
      <w:r/>
    </w:p>
    <w:p>
      <w:pPr>
        <w:ind w:right="-113"/>
        <w:jc w:val="both"/>
      </w:pPr>
      <w:r>
        <w:t xml:space="preserve">Учет производных финансовых инструментов.</w:t>
      </w:r>
      <w:r/>
    </w:p>
    <w:p>
      <w:pPr>
        <w:ind w:right="-113"/>
        <w:jc w:val="both"/>
      </w:pPr>
      <w:r>
        <w:t xml:space="preserve">Учет хеджирования.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6. </w:t>
      </w:r>
      <w:r>
        <w:rPr>
          <w:b/>
          <w:bCs/>
        </w:rPr>
        <w:t xml:space="preserve">Бухгалтерский учет операций, связанных с передачей в доверительное управление имущества НПФ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Общие положения. Бухгалтерский учет учредителем управления операций, связанных с осуществлением договора доверительного управления имущес</w:t>
      </w:r>
      <w:r>
        <w:t xml:space="preserve">твом НПФ. Периодичность отражения в бухгалтерском учете операций доверительного управления. Обособление активов и обязательств, находящихся в доверительном управлении, а также возникающих по ним доходов и расходов. Определение стоимости объектов имущества,</w:t>
      </w:r>
      <w:r>
        <w:t xml:space="preserve"> передаваемого в доверительное управление учредителем управления. Учет причитающейся учредителю управления суммы возмещения убытков, причиненных утратой или повреждением имущества, а также упущенной выгоды от доверительного управляющего. Удержание доверите</w:t>
      </w:r>
      <w:r>
        <w:t xml:space="preserve">льным управляющим причитающегося ему вознаграждения из средств, полученных в доверительное управление. Расходы доверительного управляющего, произведенные им при доверительном управлении, подлежащие возмещению учредителем управления. Формирование резерва по</w:t>
      </w:r>
      <w:r>
        <w:t xml:space="preserve">д обесценение дебиторской задолженности доверительного управляющего по возврату денежных средств, переданных в доверительное управление Передача доверительным управляющим учредителю управления объектов имущества, находящегося в доверительном управлении, в </w:t>
      </w:r>
      <w:r>
        <w:t xml:space="preserve">том числе при прекращении договора доверительного управления. Раздельный учет пенсионных резервов, пенсионных накоплений и собственных средств или имущества, предназначенного для осуществления уставной деятельности, при передаче в доверительное управление.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Глубокое понимание особенно</w:t>
      </w:r>
      <w:r>
        <w:t xml:space="preserve">стей бухгалтерского учета в НПФ с применением отраслевых стандартов бухгалтерского учета и МСФО, выработка отдельных навыков и совершенствование профессиональных компетенций, способствующих эффективному участию в аудите негосударственных пенсионных фондов.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right="-113"/>
        <w:jc w:val="both"/>
        <w:rPr>
          <w:b/>
        </w:rPr>
      </w:pPr>
      <w:r>
        <w:rPr>
          <w:b/>
          <w:bCs/>
        </w:rPr>
        <w:t xml:space="preserve">6-5-12 «БУХГАЛТЕРСКАЯ (ФИНАНСОВАЯ) ОТЧЕТНОСТЬ НПФ. ОСОБЕННОСТИ НАЛОГООБЛОЖЕНИЯ НПФ»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Продолжительность обучения </w:t>
      </w:r>
      <w:r>
        <w:t xml:space="preserve">— 8 академических часов.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rPr>
          <w:b/>
        </w:rPr>
        <w:t xml:space="preserve">Цель программы </w:t>
      </w:r>
      <w:r>
        <w:t xml:space="preserve">— углубление знаний, выработка отдельных навыков, совершен</w:t>
      </w:r>
      <w:r>
        <w:t xml:space="preserve">ствование профессиональных компетенций аудиторов, аудиторов и руководителей аудита негосударственного пенсионного фонда как общественно значимой организации на финансовом рынке, в том числе аудиторов, претендующих на назначение руководителем такого аудита.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1. Составление и представление бухгалтерской (финансовой) отчетности НПФ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Общие подходы к составлению бухгалтерской (финансовой) отчетности НПФ. Порядок закрытия отчетного года: учет событий после отчетной даты.</w:t>
      </w:r>
      <w:r/>
    </w:p>
    <w:p>
      <w:pPr>
        <w:ind w:right="-113"/>
        <w:jc w:val="both"/>
      </w:pPr>
      <w:r>
        <w:t xml:space="preserve">Годовая и промежуточная бухгалтерская (финансовая) отчетность. </w:t>
      </w:r>
      <w:r>
        <w:t xml:space="preserve">Состав годовой бухгалтерской (финансовой) отчетности: бухгалтерский баланс, отчет о финансовых результатах, отчет об изменениях собственного капитала, отчет о потоках денежных средств, примечания в составе годовой бухгалтерской (финансовой) отчетности НПФ.</w:t>
      </w:r>
      <w:r/>
    </w:p>
    <w:p>
      <w:pPr>
        <w:ind w:right="-113"/>
        <w:jc w:val="both"/>
      </w:pPr>
      <w:r>
        <w:t xml:space="preserve">Порядок составления элементов бухгалтерской (</w:t>
      </w:r>
      <w:r>
        <w:t xml:space="preserve">финансовой) отчетности. Предоставление бухгалтерской (финансовой) отчетности в Банк России. Исправление данных в отчетности. Отраслевой стандарт бухгалтерского учета «Порядок исправления ошибок в бухгалтерском учете и бухгалтерской (финансовой) отчетности </w:t>
      </w:r>
      <w:r>
        <w:t xml:space="preserve">некредитными</w:t>
      </w:r>
      <w:r>
        <w:t xml:space="preserve"> финансовыми организациями». Публикация бухгалтерской (финансовой) отчетности.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2. Особенности налогообложения НПФ и отдельных его операций</w:t>
      </w:r>
      <w:r>
        <w:rPr>
          <w:b/>
        </w:rPr>
      </w:r>
    </w:p>
    <w:p>
      <w:pPr>
        <w:ind w:right="-113"/>
        <w:jc w:val="both"/>
      </w:pPr>
      <w:r>
        <w:rPr>
          <w:bCs/>
        </w:rPr>
        <w:t xml:space="preserve">Особенности определения налоговой базы по операциям с ценными бумагами.</w:t>
      </w:r>
      <w:r/>
    </w:p>
    <w:p>
      <w:pPr>
        <w:ind w:right="-113"/>
        <w:jc w:val="both"/>
        <w:rPr>
          <w:b/>
        </w:rPr>
      </w:pPr>
      <w:r>
        <w:t xml:space="preserve">Особенности определения налоговой базы по операциям с государственными и муниципальными ценными бумагами.</w:t>
      </w:r>
      <w:r>
        <w:rPr>
          <w:b/>
        </w:rPr>
      </w:r>
    </w:p>
    <w:p>
      <w:pPr>
        <w:ind w:right="-113"/>
        <w:jc w:val="both"/>
        <w:rPr>
          <w:bCs/>
        </w:rPr>
      </w:pPr>
      <w:r>
        <w:rPr>
          <w:bCs/>
        </w:rPr>
        <w:t xml:space="preserve">Особенности определения налоговой базы по операциям </w:t>
      </w:r>
      <w:r>
        <w:rPr>
          <w:bCs/>
        </w:rPr>
        <w:t xml:space="preserve">репо</w:t>
      </w:r>
      <w:r>
        <w:rPr>
          <w:bCs/>
        </w:rPr>
        <w:t xml:space="preserve"> с ценными бумагами.</w:t>
      </w:r>
      <w:r>
        <w:rPr>
          <w:bCs/>
        </w:rPr>
      </w:r>
    </w:p>
    <w:p>
      <w:pPr>
        <w:ind w:right="-113"/>
        <w:jc w:val="both"/>
      </w:pPr>
      <w:r>
        <w:rPr>
          <w:bCs/>
        </w:rPr>
        <w:t xml:space="preserve">Срочные сделки и особенности их налогообложения.</w:t>
      </w:r>
      <w:r/>
    </w:p>
    <w:p>
      <w:pPr>
        <w:ind w:right="-113"/>
        <w:jc w:val="both"/>
        <w:rPr>
          <w:bCs/>
        </w:rPr>
      </w:pPr>
      <w:r>
        <w:rPr>
          <w:bCs/>
        </w:rPr>
        <w:t xml:space="preserve">Особенности определения доходов НПФ.</w:t>
      </w:r>
      <w:r>
        <w:rPr>
          <w:bCs/>
        </w:rPr>
      </w:r>
    </w:p>
    <w:p>
      <w:pPr>
        <w:ind w:right="-113"/>
        <w:jc w:val="both"/>
      </w:pPr>
      <w:r>
        <w:rPr>
          <w:bCs/>
        </w:rPr>
        <w:t xml:space="preserve">Особенности определения расходов НПФ.</w:t>
      </w:r>
      <w:r/>
    </w:p>
    <w:p>
      <w:pPr>
        <w:ind w:right="-113"/>
        <w:jc w:val="both"/>
      </w:pPr>
      <w:r>
        <w:rPr>
          <w:bCs/>
        </w:rPr>
        <w:t xml:space="preserve">Особенности определения налоговой базы учредителя доверительного управления имуществом</w:t>
      </w:r>
      <w:r>
        <w:t xml:space="preserve">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Глубокое понимание особенностей составления бухгалтерской (финансовой) отчетности негосударственного пенсионного фонда с применен</w:t>
      </w:r>
      <w:r>
        <w:t xml:space="preserve">ием отраслевых стандартов бухгалтерского учета и МСФО, а также особенностей налогообложения НПФ, выработка отдельных навыков и совершенствование профессиональных компетенций, способствующих эффективному участию в аудите негосударственных пенсионных фондов.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6-5-13 «ОСОБЕННОСТИ АУДИТА НЕГОСУДАРСТВЕННОГО ПЕНСИОННОГО ФОНДА. ПРИМЕНЕНИЕ В АУДИТЕ НПФ МЕЖДУНАРОДНЫХ СТАНДАРТОВ АУДИТА»</w:t>
      </w:r>
      <w:r>
        <w:rPr>
          <w:b/>
          <w:bCs/>
        </w:rPr>
      </w:r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Продолжительность обучения </w:t>
      </w:r>
      <w:r>
        <w:t xml:space="preserve">— 20 академических часов.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rPr>
          <w:b/>
        </w:rPr>
        <w:t xml:space="preserve">Цель программы </w:t>
      </w:r>
      <w:r>
        <w:t xml:space="preserve">— углубление знаний, выработка отдельных навыков, совершен</w:t>
      </w:r>
      <w:r>
        <w:t xml:space="preserve">ствование профессиональных компетенций аудиторов, аудиторов и руководителей аудита негосударственного пенсионного фонда как общественно значимой организации на финансовом рынке, в том числе аудиторов, претендующих на назначение руководителем такого аудита.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1. </w:t>
      </w:r>
      <w:r>
        <w:rPr>
          <w:b/>
          <w:bCs/>
        </w:rPr>
        <w:t xml:space="preserve">Требования к аудиторской организации, осуществляющей аудит общественно значимых организаций на финансовом рынке, в том числе негосударственных пенсионных фондов (НПФ). Контрольные и надзорные функции Банка России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Требования к аудиторской организации для проведения обязательного аудита НПФ. </w:t>
      </w:r>
      <w:r>
        <w:rPr>
          <w:bCs/>
        </w:rPr>
        <w:t xml:space="preserve">Требования к руководителю аудита НПФ. </w:t>
      </w:r>
      <w:r>
        <w:t xml:space="preserve">Особенности применения Правил независимости аудиторов и аудиторских организацией при аудите НПФ.</w:t>
      </w:r>
      <w:r/>
    </w:p>
    <w:p>
      <w:pPr>
        <w:ind w:right="-113"/>
        <w:jc w:val="both"/>
      </w:pPr>
      <w:r>
        <w:t xml:space="preserve">Надзор</w:t>
      </w:r>
      <w:r>
        <w:t xml:space="preserve"> Банка России за деятельностью аудиторских организаций на финансовом рынке: предмет надзора, формы и мероприятия надзора. Предоставление аудиторской организацией в Банк России необходимых документов и информации, порядок направления запросов и предписаний.</w:t>
      </w:r>
      <w:r/>
    </w:p>
    <w:p>
      <w:pPr>
        <w:ind w:right="-113"/>
        <w:jc w:val="both"/>
      </w:pPr>
      <w:r>
        <w:t xml:space="preserve">Основания и документальное оформление проверки Банком России аудиторской организации в порядке надзора.</w:t>
      </w:r>
      <w:r/>
    </w:p>
    <w:p>
      <w:pPr>
        <w:ind w:right="-113"/>
        <w:jc w:val="both"/>
      </w:pPr>
      <w:r>
        <w:t xml:space="preserve">Порядок информирования саморегулируемой организации аудиторов о результатах проверки Банком России деятельности аудиторской организации на финансовом рынке и решении, принятом в отношении такой аудиторской организации.</w:t>
      </w:r>
      <w:r/>
    </w:p>
    <w:p>
      <w:pPr>
        <w:ind w:right="-113"/>
        <w:jc w:val="both"/>
      </w:pPr>
      <w:r>
        <w:t xml:space="preserve">Право Банка России на обжалование аудиторского заключения. Решение Банка России о признании аудиторского заключения ненадлежащим в обстоятельствах согласно стандартам аудиторской деятельности.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2. Аудит НПФ. Аудит при реорганизации НПФ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Ежегодный аудит. Аудит бухгалтерской (финансовой) отчетности. Порядок заключения договора на проведение обязательного аудита бухгалтерской (финансовой) отчетности НПФ. Аудит ведени</w:t>
      </w:r>
      <w:r>
        <w:t xml:space="preserve">я пенсионных счетов негосударственного пенсионного обеспечения (НПО) и накопительной пенсии. Аудит осуществления выплат негосударственных пенсий, выкупных сумм, накопительных пенсий, срочных пенсионных выплат, единовременных выплат, выплат правопреемникам.</w:t>
      </w:r>
      <w:r/>
    </w:p>
    <w:p>
      <w:pPr>
        <w:ind w:right="-113"/>
        <w:jc w:val="both"/>
      </w:pPr>
      <w:r>
        <w:t xml:space="preserve">Особенности аудита в связи с реорганизацией НПФ. Согласование Банком России </w:t>
      </w:r>
      <w:r>
        <w:t xml:space="preserve">проведения реорганизации. Требования к проведению аудита при реорганизации НПФ. Проверка передаточного акта или разделительного баланса (с учетом формы реорганизации). Состав и особенности других документов, подлежащих аудиту, в связи с реорганизацией НПФ.</w:t>
      </w:r>
      <w:r/>
    </w:p>
    <w:p>
      <w:pPr>
        <w:ind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  <w:rPr>
          <w:b/>
        </w:rPr>
      </w:pPr>
      <w:r>
        <w:rPr>
          <w:b/>
        </w:rPr>
        <w:t xml:space="preserve">Тема 3. Особенности аудита НПФ. Аудиторское заключение. Применение в аудите НПФ международных стандартов аудита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Особенности аудита бухгалтерской (финансовой) отчетности НПФ как общ</w:t>
      </w:r>
      <w:r>
        <w:t xml:space="preserve">ественно значимой организации на финансовом рынке. Группы пользователей финансовой отчетности НПФ и их интересы. Понимание деятельности аудируемого лица. Отраслевые, правовые и другие внешние факторы, влияющие на деятельность НПФ, и связанные с ними риски.</w:t>
      </w:r>
      <w:r/>
    </w:p>
    <w:p>
      <w:pPr>
        <w:ind w:right="-113"/>
        <w:jc w:val="both"/>
      </w:pPr>
      <w:r>
        <w:t xml:space="preserve">Аудиторское заключение к годовой бухгалтерской (финансовой) отчетности НПФ. Аудиторское заключение к консолидированной финансовой отчетности НПФ.</w:t>
      </w:r>
      <w:r/>
    </w:p>
    <w:p>
      <w:pPr>
        <w:ind w:right="-113"/>
        <w:jc w:val="both"/>
      </w:pPr>
      <w:r>
        <w:t xml:space="preserve">Применение Международного отчета о практике аудита (МОПА) 1000 «Особенности аудита финансовых инструментов» при выполнении аудиторских заданий в отношении НПФ.</w:t>
      </w:r>
      <w:r/>
    </w:p>
    <w:p>
      <w:pPr>
        <w:ind w:right="-113"/>
        <w:jc w:val="both"/>
      </w:pPr>
      <w:r>
        <w:t xml:space="preserve">Применение в аудите НПФ Международного стандарта сопутствующих услуг 4400 (пересмотренного) «Задания по выполнению согласованных процедур» и Международного стандарта сопутствующих услуг 4410 (пересмотренного) «Задания по компиляции».</w:t>
      </w:r>
      <w:r/>
    </w:p>
    <w:p>
      <w:pPr>
        <w:ind w:right="-113"/>
        <w:jc w:val="both"/>
      </w:pPr>
      <w:r>
        <w:t xml:space="preserve">Возможности для анализа при аудите НПФ бухгалтерской (финансовой) отчетности управляющих компаний, оказывающих НПФ услуги по доверительному управлению имуществом.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Глубокое понимание специфики аудита негосударственного пенси</w:t>
      </w:r>
      <w:r>
        <w:t xml:space="preserve">онного фонда с учетом требований Банка России, практики аудита, международных стандартов аудита, выработка отдельных навыков и совершенствование профессиональных компетенций, способствующих эффективному участию в аудите негосударственных пенсионных фондов.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  <w:bCs/>
        </w:rPr>
      </w:pPr>
      <w:r>
        <w:rPr>
          <w:b/>
          <w:bCs/>
        </w:rPr>
        <w:t xml:space="preserve">6-5-14 «ОСОБЕННОСТИ ПРОВЕРКИ ДОСТОВЕРНОСТИ ФИНАНСОВОЙ ОТЧЕТНОСТИ, ИНФОРМАЦИИ, СОБЛЮДЕНИЯ УСТАНОВЛЕННЫХ НОРМ, ТРЕБОВАНИЙ В ПРОЦЕССЕ АУДИТА НПФ»</w:t>
      </w:r>
      <w:r>
        <w:rPr>
          <w:b/>
          <w:bCs/>
        </w:rPr>
      </w:r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Продолжительность обучения </w:t>
      </w:r>
      <w:r>
        <w:t xml:space="preserve">— 20 академических часов.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rPr>
          <w:b/>
        </w:rPr>
        <w:t xml:space="preserve">Цель программы </w:t>
      </w:r>
      <w:r>
        <w:t xml:space="preserve">— углубление знаний, выработка отдельных навыков, совершен</w:t>
      </w:r>
      <w:r>
        <w:t xml:space="preserve">ствование профессиональных компетенций аудиторов, аудиторов и руководителей аудита негосударственного пенсионного фонда как общественно значимой организации на финансовом рынке, в том числе аудиторов, претендующих на назначение руководителем такого аудита.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1. Достоверность раскрытия информации о сроках погашения дебиторской и кредиторской задолженности в бухгалтерской отчетности.</w:t>
      </w:r>
      <w:r/>
    </w:p>
    <w:p>
      <w:pPr>
        <w:ind w:right="-113"/>
        <w:jc w:val="both"/>
      </w:pPr>
      <w:r>
        <w:t xml:space="preserve">2. Соблюдение требований </w:t>
      </w:r>
      <w:hyperlink r:id="rId52" w:tooltip="https://login.consultant.ru/link/?req=doc&amp;demo=2&amp;base=LAW&amp;n=380195&amp;date=18.02.2023" w:history="1">
        <w:r>
          <w:rPr>
            <w:u w:val="single"/>
          </w:rPr>
          <w:t xml:space="preserve">МСФО (IFRS) 9</w:t>
        </w:r>
      </w:hyperlink>
      <w:r>
        <w:t xml:space="preserve">, </w:t>
      </w:r>
      <w:hyperlink r:id="rId53" w:tooltip="https://login.consultant.ru/link/?req=doc&amp;demo=2&amp;base=LAW&amp;n=380199&amp;date=18.02.2023" w:history="1">
        <w:r>
          <w:rPr>
            <w:u w:val="single"/>
          </w:rPr>
          <w:t xml:space="preserve">МСФО (IAS) 39</w:t>
        </w:r>
      </w:hyperlink>
      <w:r>
        <w:t xml:space="preserve">, </w:t>
      </w:r>
      <w:hyperlink r:id="rId54" w:tooltip="https://login.consultant.ru/link/?req=doc&amp;demo=2&amp;base=LAW&amp;n=388746&amp;date=18.02.2023" w:history="1">
        <w:r>
          <w:rPr>
            <w:u w:val="single"/>
          </w:rPr>
          <w:t xml:space="preserve">Положения</w:t>
        </w:r>
      </w:hyperlink>
      <w:r>
        <w:t xml:space="preserve"> Банка России № 612-П (в зависимости от принятой учетной политики) при классификации финансовых активов и </w:t>
      </w:r>
      <w:r>
        <w:t xml:space="preserve">финансовых обязательств, корректность и достоверность отражения справедливой и ам</w:t>
      </w:r>
      <w:r>
        <w:t xml:space="preserve">ортизированной стоимости финансовых активов с учетом порядка отражения на счетах бухгалтерского учета вложений в ценные бумаги, оцениваемых по справедливой стоимости, иных финансовых активов и финансовых обязательств, оцениваемых по справедливой стоимости.</w:t>
      </w:r>
      <w:r/>
    </w:p>
    <w:p>
      <w:pPr>
        <w:ind w:right="-113"/>
        <w:jc w:val="both"/>
      </w:pPr>
      <w:r>
        <w:t xml:space="preserve">3. Классификация и оценка финансовых инструментов в целях составления бухгалтерской отчетности в соответствии с </w:t>
      </w:r>
      <w:hyperlink r:id="rId55" w:tooltip="https://login.consultant.ru/link/?req=doc&amp;demo=2&amp;base=LAW&amp;n=380195&amp;date=18.02.2023" w:history="1">
        <w:r>
          <w:rPr>
            <w:u w:val="single"/>
          </w:rPr>
          <w:t xml:space="preserve">МСФО (IFRS) 9</w:t>
        </w:r>
      </w:hyperlink>
      <w:r>
        <w:t xml:space="preserve"> и </w:t>
      </w:r>
      <w:hyperlink r:id="rId56" w:tooltip="https://login.consultant.ru/link/?req=doc&amp;demo=2&amp;base=LAW&amp;n=380199&amp;date=18.02.2023" w:history="1">
        <w:r>
          <w:rPr>
            <w:u w:val="single"/>
          </w:rPr>
          <w:t xml:space="preserve">МСФО (IAS) 39</w:t>
        </w:r>
      </w:hyperlink>
      <w:r>
        <w:t xml:space="preserve">, соблюдение условий, установленных указанными МСФО, для случаев </w:t>
      </w:r>
      <w:r>
        <w:t xml:space="preserve">реклассификации</w:t>
      </w:r>
      <w:r>
        <w:t xml:space="preserve"> и реализации ценных бумаг, оцениваемых по амортизированной стоимости.</w:t>
      </w:r>
      <w:r/>
    </w:p>
    <w:p>
      <w:pPr>
        <w:ind w:right="-113"/>
        <w:jc w:val="both"/>
      </w:pPr>
      <w:r>
        <w:t xml:space="preserve">4. Адекватность раскрытия активов по уровням иерархии справедливой стоимости в соответствии с требованиями </w:t>
      </w:r>
      <w:hyperlink r:id="rId57" w:tooltip="https://login.consultant.ru/link/?req=doc&amp;demo=2&amp;base=LAW&amp;n=202743&amp;date=18.02.2023" w:history="1">
        <w:r>
          <w:rPr>
            <w:u w:val="single"/>
          </w:rPr>
          <w:t xml:space="preserve">МСФО (IFRS) 13</w:t>
        </w:r>
      </w:hyperlink>
      <w:r>
        <w:t xml:space="preserve">, адекватность применяемых моделей оценки активов, относящихся ко 2 и 3 уровням.</w:t>
      </w:r>
      <w:r/>
    </w:p>
    <w:p>
      <w:pPr>
        <w:ind w:right="-113"/>
        <w:jc w:val="both"/>
      </w:pPr>
      <w:r>
        <w:t xml:space="preserve">5. Соответствие отложенных налоговых обязательств и активов требованиям Положения Банка России от 4 сентября 2015 г. № 490-П «Отраслевой стандарт бухгалтерского учета отложенных налоговых обязательств и отложенных налоговых активов </w:t>
      </w:r>
      <w:r>
        <w:t xml:space="preserve">некредитными</w:t>
      </w:r>
      <w:r>
        <w:t xml:space="preserve"> финансовыми организациями».</w:t>
      </w:r>
      <w:r/>
    </w:p>
    <w:p>
      <w:pPr>
        <w:ind w:right="-113"/>
        <w:jc w:val="both"/>
      </w:pPr>
      <w:r>
        <w:t xml:space="preserve">5. Существенные изменения в учетной политике, их причины и порядок отражения в бухгалтерском учете и отчетности.</w:t>
      </w:r>
      <w:r/>
    </w:p>
    <w:p>
      <w:pPr>
        <w:ind w:right="-113"/>
        <w:jc w:val="both"/>
      </w:pPr>
      <w:r>
        <w:t xml:space="preserve">6. Операции со связанными сторонами в целях получения достоверной информации об отсутствии риска недобросовестных действий, в том числе операции на нерыночных условиях. </w:t>
      </w:r>
      <w:r/>
    </w:p>
    <w:p>
      <w:pPr>
        <w:ind w:right="-113"/>
        <w:jc w:val="both"/>
      </w:pPr>
      <w:r>
        <w:t xml:space="preserve">7. Организация системы соблюдения требований Федерального </w:t>
      </w:r>
      <w:hyperlink r:id="rId58" w:tooltip="https://login.consultant.ru/link/?req=doc&amp;demo=2&amp;base=LAW&amp;n=436374&amp;date=18.02.2023" w:history="1">
        <w:r>
          <w:rPr>
            <w:u w:val="single"/>
          </w:rPr>
          <w:t xml:space="preserve">закона</w:t>
        </w:r>
      </w:hyperlink>
      <w:r>
        <w:t xml:space="preserve"> «О противодействии легализации (отмыванию) доходов, полученных преступным путем, и финансированию терроризма».</w:t>
      </w:r>
      <w:r/>
    </w:p>
    <w:p>
      <w:pPr>
        <w:ind w:right="-113"/>
        <w:jc w:val="both"/>
      </w:pPr>
      <w:r>
        <w:t xml:space="preserve">8. Корректность создания резерва под обесценение по финансовым активам.</w:t>
      </w:r>
      <w:r/>
    </w:p>
    <w:p>
      <w:pPr>
        <w:ind w:right="-113"/>
        <w:jc w:val="both"/>
      </w:pPr>
      <w:r>
        <w:t xml:space="preserve">9. Соблюдение принципов дисконтирования при оценке долгосрочных финансовых активов.</w:t>
      </w:r>
      <w:r/>
    </w:p>
    <w:p>
      <w:pPr>
        <w:ind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Глубокое понимание специфики аудита негосударственного пенсионного фонда с учетом требований Банка России и практики аудита, выработка отдельных навыков и соверше</w:t>
      </w:r>
      <w:r>
        <w:t xml:space="preserve">нствование профессиональных компетенций, способствующих эффективному участию в аудите негосударственных пенсионных фондов, проведению проверки достоверности финансовой отчетности, информации, соблюдения установленных норм, требований в процессе аудита НПФ.</w:t>
      </w:r>
      <w:r/>
    </w:p>
    <w:p>
      <w:pPr>
        <w:ind w:right="-113"/>
        <w:jc w:val="both"/>
      </w:pPr>
      <w:r/>
      <w:r/>
    </w:p>
    <w:p>
      <w:pPr>
        <w:ind w:left="10" w:right="-113" w:hanging="1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10" w:right="-113" w:hanging="10"/>
        <w:jc w:val="both"/>
        <w:rPr>
          <w:rFonts w:eastAsia="Calibri"/>
          <w:b/>
        </w:rPr>
      </w:pPr>
      <w:r>
        <w:rPr>
          <w:b/>
        </w:rPr>
        <w:t xml:space="preserve">6-5-15 </w:t>
      </w:r>
      <w:r>
        <w:rPr>
          <w:rFonts w:eastAsia="Calibri"/>
          <w:b/>
          <w:lang w:eastAsia="en-US"/>
        </w:rPr>
        <w:t xml:space="preserve">«АКТУАЛЬНЫЕ ВОПРОСЫ ПРИМЕНЕНИЯ</w:t>
      </w:r>
      <w:r>
        <w:rPr>
          <w:rFonts w:eastAsia="Calibri"/>
          <w:b/>
        </w:rPr>
        <w:t xml:space="preserve"> </w:t>
      </w:r>
      <w:r>
        <w:rPr>
          <w:rFonts w:eastAsia="Calibri"/>
          <w:b/>
          <w:lang w:eastAsia="en-US"/>
        </w:rPr>
        <w:t xml:space="preserve">ОТРАСЛЕВЫХ СТАНДАРТОВ БУХГАЛТЕРСКОГО УЧЕТА, МСФО,</w:t>
      </w:r>
      <w:r>
        <w:rPr>
          <w:rFonts w:eastAsia="Calibri"/>
          <w:b/>
        </w:rPr>
        <w:t xml:space="preserve"> ПОСЛЕДНИЕ ИЗМЕНЕНИЯ В НАЛОГООБЛОЖЕНИИ И ЗАКОНОДАТЕЛЬСТВЕ ПРИ АУДИТЕ СТРАХОВЫХ ОРГАНИЗАЦИЙ, ОБЩЕСТВ ВЗАИМНОГО СТРАХОВАНИЯ, НЕГОСУДАРСТВЕННЫХ ПЕНСИОННЫХ ФОНДОВ»</w:t>
      </w:r>
      <w:r>
        <w:rPr>
          <w:rFonts w:eastAsia="Calibri"/>
          <w:b/>
        </w:rPr>
      </w:r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Продолжительность обучения</w:t>
      </w:r>
      <w:r>
        <w:t xml:space="preserve"> - 8 академических часов.  </w:t>
      </w:r>
      <w:r/>
    </w:p>
    <w:p>
      <w:pPr>
        <w:ind w:left="10" w:right="-113" w:hanging="10"/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Цель программы</w:t>
      </w:r>
      <w:r>
        <w:t xml:space="preserve"> - углубление знаний аудиторов и руководителей аудита страховых организаций, обществ взаимного страхования, негосударственных пенсионных фондов в отношении ОСБУ, МСФО, отчетности, налогообложения и правового законодательства.</w:t>
      </w:r>
      <w:r>
        <w:rPr>
          <w:b/>
        </w:rPr>
      </w:r>
    </w:p>
    <w:p>
      <w:pPr>
        <w:ind w:left="10" w:right="-113" w:hanging="1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10" w:right="-113" w:hanging="10"/>
        <w:jc w:val="both"/>
      </w:pPr>
      <w:r>
        <w:rPr>
          <w:b/>
        </w:rPr>
        <w:t xml:space="preserve">Обязательные вопросы*</w:t>
      </w:r>
      <w:r>
        <w:t xml:space="preserve">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t xml:space="preserve">Общая характеристика современного состояния правового регулирования предмета изучаемого акта. Причины и цели принятия изучаемого акта. Концепция изучаемого акта. </w:t>
      </w:r>
      <w:r>
        <w:t xml:space="preserve">Круг лиц, на которых распространяется действие изучаемог</w:t>
      </w:r>
      <w:r>
        <w:t xml:space="preserve">о акта. Место изучаемого акта в общей системе нормативных правовых актов данной отрасли права. Содержание изучаемого акта, его новеллы в сравнении с ранее действовавшим актом в отношении того же предмета. Порядок вступления в силу изучаемого акта и переход</w:t>
      </w:r>
      <w:r>
        <w:t xml:space="preserve">ные положения. Последствия принятия изучаемого акта для аудируемых лиц. Влияние принятия изучаемого акта на проведение аудита финансовой (бухгалтерской) отчетности страховых организаций, обществ взаимного страхования, негосударственных пенсионных фондов.  </w:t>
      </w:r>
      <w:r/>
    </w:p>
    <w:p>
      <w:pPr>
        <w:ind w:left="10" w:right="-113" w:hanging="10"/>
        <w:jc w:val="both"/>
      </w:pPr>
      <w:r>
        <w:t xml:space="preserve">*Текст данной программы отражает не содержание ее темы, а приводит алгоритм пров</w:t>
      </w:r>
      <w:r>
        <w:t xml:space="preserve">едения курсов по вышеназванной теме, которую необходимо знать при проведении аудита. При проведении повышения квалификации аудиторов должны рассматриваться все приведённые вопросы по каждому изучаемому акту. Распределение академических часов по отдельным в</w:t>
      </w:r>
      <w:r>
        <w:t xml:space="preserve">опросам при обучении по настоящей программе производится образовательным учреждением, проводящим занятия по повышению квалификации аудиторов и руководителей аудита страховых организаций, обществ взаимного страхования, негосударственных пенсионных фондов.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Результат обучения</w:t>
      </w:r>
      <w:r>
        <w:t xml:space="preserve">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t xml:space="preserve">Глубокое и детальное понимание норм правового акта, его применения в финансово-хозяйственной деятельности аудируемых лиц при осуществлении аудита страховых организаций, обществ взаимного страхования, негосударственных пенсионных фондов.  </w:t>
      </w:r>
      <w:r/>
    </w:p>
    <w:p>
      <w:pPr>
        <w:ind w:right="-11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1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113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Раздел 6. Программы повышения квалификации по тематике экономической деятельности: профессиональные участник</w:t>
      </w:r>
      <w:r>
        <w:rPr>
          <w:b/>
          <w:bCs/>
          <w:sz w:val="28"/>
          <w:szCs w:val="28"/>
          <w:u w:val="single"/>
        </w:rPr>
        <w:t xml:space="preserve">и рынка ценных бумаг (брокеры, управляющие, инвестиционные советники, депозитарии, регистраторы), клиринговые организации, организаторы торговли, управляющие компании инвестиционных фондов, паевых инвестиционных фондов и негосударственных пенсионных фондов</w:t>
      </w:r>
      <w:r>
        <w:rPr>
          <w:b/>
          <w:bCs/>
          <w:sz w:val="28"/>
          <w:szCs w:val="28"/>
          <w:u w:val="single"/>
        </w:rPr>
      </w:r>
    </w:p>
    <w:p>
      <w:pPr>
        <w:jc w:val="both"/>
        <w:spacing w:line="259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both"/>
        <w:spacing w:line="259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6-6-01 «ПРАКТИКА ПРИМЕНЕНИЯ МСА: ФОРМИРОВАНИЕ АУДИТОРСКОГО ЗАКЛЮЧЕНИЯ НЕКРЕДИТНЫХ ФИНАНСОВЫХ ОРГАНИЗАЦИЙ»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4 академических часа.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</w:t>
      </w:r>
      <w:r>
        <w:rPr>
          <w:rFonts w:eastAsia="Calibri"/>
          <w:b/>
          <w:bCs/>
          <w:lang w:eastAsia="en-US"/>
        </w:rPr>
        <w:t xml:space="preserve">программы</w:t>
      </w:r>
      <w:r>
        <w:rPr>
          <w:rFonts w:eastAsia="Calibri"/>
          <w:lang w:eastAsia="en-US"/>
        </w:rPr>
        <w:t xml:space="preserve"> - углубление знаний аудиторов и руководителей аудита общественно значимых организаций, желающих специализироваться на аудите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организаций, особенностей деятельности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Особенности аудита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организаций  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Анализ исполнения положений внутреннего контроля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организацией должностным лицом/контролером/службой внутреннего контроля.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Выявление операций, имеющих при</w:t>
      </w:r>
      <w:r>
        <w:rPr>
          <w:rFonts w:eastAsia="Calibri"/>
          <w:lang w:eastAsia="en-US"/>
        </w:rPr>
        <w:t xml:space="preserve">знаки схемного характера и направленных на выполнение требований к собственным средствам (капиталу) или чистым активам, а также обязательных (финансовых, экономических) нормативов; правомерность признания доходов и расходов; повышенная концентрация рисков.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Объекты ежегодного аудита негосударственного пенсионного фонда, сроки проведения аудита.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аудиторского задания и аудиторского заключения в связи с реорганизацией негосударственного пенсионного фонда.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состава, стоимости и структуры активов, в которые инвестированы (размещены) собственные средства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организации, пенсионные резервы и пенсионные накопления (для негосударственных пенсионных фондов), а также темпы изменения объемов совершаемых операций; величины активов и пассивов, собственных средств, доходов и расходов.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установленного в учетной политике порядка формирования резервов под обесценение и обоснованность восстановления их.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Анализ порядка определения справедливой стоимости активов с учетом положений внутренних документов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аудита управляющих компаний паевых инвестиционных фондов.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Объекты аудита акционерного и паевого инвестиционного фонда: императивные и диспозитивные нормы. 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аудита профессиональных участников рынка ц</w:t>
      </w:r>
      <w:r>
        <w:rPr>
          <w:rFonts w:eastAsia="Calibri"/>
          <w:lang w:eastAsia="en-US"/>
        </w:rPr>
        <w:t xml:space="preserve">енных бумаг (за исключением кредитных организаций): специальные счета учета клиентских средств. Маржинальные сделки, заимствование денежных средств у клиентов: основания, даты признания/прекращения признания, обеспечения исполнения обязательств по сделкам.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2. Формирование мнения о бухгалтерской (финансовой) отчетности и аудиторского заключения о ней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Доп</w:t>
      </w:r>
      <w:r>
        <w:rPr>
          <w:rFonts w:eastAsia="Calibri"/>
          <w:lang w:eastAsia="en-US"/>
        </w:rPr>
        <w:t xml:space="preserve">олнительные требования 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Право Банка России на обжалование аудиторского заключения. Решение Банка России о признании аудиторского заключения ненадлежащим в конкретных обстоятельствах согласно стандартам аудиторской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Типовые вопросы и нарушения при составлении аудиторских заключений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Информирование лиц, отвечающих за корпоративное управление, о значимых выводах в результате аудита и о недостатках внутреннего контроля.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Ключевые вопросы аудита.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Немодифицированное</w:t>
      </w:r>
      <w:r>
        <w:rPr>
          <w:rFonts w:eastAsia="Calibri"/>
          <w:lang w:eastAsia="en-US"/>
        </w:rPr>
        <w:t xml:space="preserve"> и модифицированное мнение в аудиторском заключении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организаций: риски, ответственность аудитора.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состава аудиторского заключения о годовой бухгалтерской (финансовой) отчетности акционерного инвестиционного фонда в соответствии с Федеральным законом от 29.11.2001 № 156-ФЗ «Об инвестиционных фондах».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ежегодной проверки аудиторской организацией паевого инвестиционного фонда в соответствии с Федеральным законом от 29.11.2001 № 156-ФЗ «Об инвестиционных фондах».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</w:pPr>
      <w:r>
        <w:rPr>
          <w:rFonts w:eastAsia="Calibri"/>
          <w:lang w:eastAsia="en-US"/>
        </w:rPr>
        <w:t xml:space="preserve">Глубокое и детальное понимание особенностей аудита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t xml:space="preserve">  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rFonts w:eastAsiaTheme="minorHAnsi"/>
          <w:b/>
          <w:lang w:eastAsia="en-US"/>
        </w:rPr>
        <w:t xml:space="preserve">6-6-02  «АКТУАЛЬНЫЕ ВОПРОСЫ ПРИМЕ</w:t>
      </w:r>
      <w:r>
        <w:rPr>
          <w:rFonts w:eastAsiaTheme="minorHAnsi"/>
          <w:b/>
          <w:lang w:eastAsia="en-US"/>
        </w:rPr>
        <w:t xml:space="preserve">НЕНИЯ ОТРАСЛЕВОГО СТАНДАРТА БУХГАЛТЕРСКОГО УЧЕТА «ПОРЯДОК СОСТАВЛЕНИЯ БУХГАЛТЕРСКОЙ (ФИНАНСОВОЙ) ОТЧЕТНОСТИ  ПРОФЕССИОНАЛЬНЫХ УЧАСТНИКОВ РЫНКА ЦЕННЫХ БУМАГ, АКЦИОНЕРНЫХ ИНВЕСТИЦИОННЫХ ФОНДОВ, ОРГАНИЗАТОРОВ ТОРГОВЛИ, ЦЕНТРАЛЬНЫХ КОНТРАГЕНТОВ, КЛИРИНГОВЫХ ОР</w:t>
      </w:r>
      <w:r>
        <w:rPr>
          <w:rFonts w:eastAsiaTheme="minorHAnsi"/>
          <w:b/>
          <w:lang w:eastAsia="en-US"/>
        </w:rPr>
        <w:t xml:space="preserve">ГАНИЗАЦИЙ, СПЕЦИАЛИЗИРОВАННЫХ ДЕПОЗИТАРИЕВ ИНВЕСТИЦИОННОГО ФОНДА, ПАЕВОГО ИНВЕСТИЦИОННОГО ФОНДА И НЕГОСУДАРСТВЕННОГО ПЕНСИОННОГО ФОНДА, УПРАВЛЯЮЩИХ КОМПАНИЙ ИНВЕСТИЦИОННОГО ФОНДА, БЮРО КРЕДИТНЫХ ИСТОРИЙ, КРЕДИТНЫХ РЕЙТИНГОВЫХ АГЕНТСТВ, СТРАХОВЫХ БРОКЕРОВ» </w:t>
      </w:r>
      <w:r>
        <w:rPr>
          <w:rFonts w:eastAsiaTheme="minorHAnsi"/>
          <w:b/>
          <w:lang w:eastAsia="en-US"/>
        </w:rPr>
      </w:r>
    </w:p>
    <w:p>
      <w:pPr>
        <w:jc w:val="both"/>
        <w:keepNext/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</w:p>
    <w:p>
      <w:pPr>
        <w:jc w:val="both"/>
      </w:pPr>
      <w:r>
        <w:rPr>
          <w:b/>
        </w:rPr>
        <w:t xml:space="preserve">Продолжительность обучения</w:t>
      </w:r>
      <w:r>
        <w:t xml:space="preserve"> – 16 академических часов.</w:t>
      </w:r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</w:pPr>
      <w:r>
        <w:rPr>
          <w:b/>
        </w:rPr>
        <w:t xml:space="preserve">Цель программы </w:t>
      </w:r>
      <w:r>
        <w:t xml:space="preserve">- обучение финансовых специалистов </w:t>
      </w:r>
      <w:r>
        <w:t xml:space="preserve">некредитных</w:t>
      </w:r>
      <w:r>
        <w:t xml:space="preserve"> финансовых организаций (НФО): порядок и особенности составления бухгалтерской (финансовой) отчетности </w:t>
      </w:r>
      <w:r>
        <w:t xml:space="preserve">некредитной</w:t>
      </w:r>
      <w:r>
        <w:t xml:space="preserve"> финансовой организации.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1. Общие положения 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34"/>
        </w:numPr>
        <w:contextualSpacing/>
        <w:jc w:val="both"/>
        <w:tabs>
          <w:tab w:val="left" w:pos="630" w:leader="none"/>
        </w:tabs>
        <w:rPr>
          <w:rFonts w:eastAsia="Tahoma"/>
        </w:rPr>
      </w:pPr>
      <w:r>
        <w:rPr>
          <w:rFonts w:eastAsia="Tahoma"/>
        </w:rPr>
        <w:t xml:space="preserve">Особенности составления бухгалтерской (финансовой) отчетности (БФО)</w:t>
      </w:r>
      <w:r>
        <w:rPr>
          <w:rFonts w:eastAsia="Tahoma"/>
        </w:rPr>
      </w:r>
    </w:p>
    <w:p>
      <w:pPr>
        <w:numPr>
          <w:ilvl w:val="0"/>
          <w:numId w:val="34"/>
        </w:numPr>
        <w:contextualSpacing/>
        <w:jc w:val="both"/>
        <w:tabs>
          <w:tab w:val="left" w:pos="630" w:leader="none"/>
        </w:tabs>
        <w:rPr>
          <w:rFonts w:eastAsia="Tahoma"/>
        </w:rPr>
      </w:pPr>
      <w:r>
        <w:rPr>
          <w:rFonts w:eastAsia="Tahoma"/>
        </w:rPr>
        <w:t xml:space="preserve">Порядок составления БФО</w:t>
      </w:r>
      <w:r>
        <w:rPr>
          <w:rFonts w:eastAsia="Tahoma"/>
        </w:rPr>
      </w:r>
    </w:p>
    <w:p>
      <w:pPr>
        <w:numPr>
          <w:ilvl w:val="0"/>
          <w:numId w:val="34"/>
        </w:numPr>
        <w:contextualSpacing/>
        <w:jc w:val="both"/>
        <w:tabs>
          <w:tab w:val="left" w:pos="630" w:leader="none"/>
        </w:tabs>
        <w:rPr>
          <w:rFonts w:eastAsia="Tahoma"/>
        </w:rPr>
      </w:pPr>
      <w:r>
        <w:rPr>
          <w:rFonts w:eastAsia="Tahoma"/>
        </w:rPr>
        <w:t xml:space="preserve">Требования к представлению БФО</w:t>
      </w:r>
      <w:r>
        <w:rPr>
          <w:rFonts w:eastAsia="Tahoma"/>
        </w:rPr>
      </w:r>
    </w:p>
    <w:p>
      <w:pPr>
        <w:numPr>
          <w:ilvl w:val="0"/>
          <w:numId w:val="34"/>
        </w:numPr>
        <w:contextualSpacing/>
        <w:jc w:val="both"/>
        <w:tabs>
          <w:tab w:val="left" w:pos="630" w:leader="none"/>
        </w:tabs>
        <w:rPr>
          <w:rFonts w:eastAsia="Tahoma"/>
        </w:rPr>
      </w:pPr>
      <w:r>
        <w:rPr>
          <w:rFonts w:eastAsia="Tahoma"/>
        </w:rPr>
        <w:t xml:space="preserve">Состав обязательных форм отчетности и раскрытий к отчетности</w:t>
      </w:r>
      <w:r>
        <w:rPr>
          <w:rFonts w:eastAsia="Tahoma"/>
        </w:rPr>
      </w:r>
    </w:p>
    <w:p>
      <w:pPr>
        <w:ind w:left="90"/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2. Особенности составления</w:t>
      </w:r>
      <w:r>
        <w:t xml:space="preserve"> </w:t>
      </w:r>
      <w:r>
        <w:rPr>
          <w:b/>
        </w:rPr>
        <w:t xml:space="preserve">бухгалтерской (финансовой) отчетности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3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Бухгалтерский баланс </w:t>
      </w:r>
      <w:r>
        <w:rPr>
          <w:rFonts w:eastAsia="Tahoma"/>
        </w:rPr>
        <w:t xml:space="preserve">некредитной</w:t>
      </w:r>
      <w:r>
        <w:rPr>
          <w:rFonts w:eastAsia="Tahoma"/>
        </w:rPr>
        <w:t xml:space="preserve"> финансовой организации</w:t>
      </w:r>
      <w:r>
        <w:rPr>
          <w:rFonts w:eastAsia="Tahoma"/>
        </w:rPr>
      </w:r>
    </w:p>
    <w:p>
      <w:pPr>
        <w:numPr>
          <w:ilvl w:val="0"/>
          <w:numId w:val="3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Отчет о финансовых результатах </w:t>
      </w:r>
      <w:r>
        <w:rPr>
          <w:rFonts w:eastAsia="Tahoma"/>
        </w:rPr>
        <w:t xml:space="preserve">некредитной</w:t>
      </w:r>
      <w:r>
        <w:rPr>
          <w:rFonts w:eastAsia="Tahoma"/>
        </w:rPr>
        <w:t xml:space="preserve"> финансовой организации</w:t>
      </w:r>
      <w:r>
        <w:rPr>
          <w:rFonts w:eastAsia="Tahoma"/>
        </w:rPr>
      </w:r>
    </w:p>
    <w:p>
      <w:pPr>
        <w:numPr>
          <w:ilvl w:val="0"/>
          <w:numId w:val="3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Отчет об изменениях собственного капитала </w:t>
      </w:r>
      <w:r>
        <w:rPr>
          <w:rFonts w:eastAsia="Tahoma"/>
        </w:rPr>
        <w:t xml:space="preserve">некредитной</w:t>
      </w:r>
      <w:r>
        <w:rPr>
          <w:rFonts w:eastAsia="Tahoma"/>
        </w:rPr>
        <w:t xml:space="preserve"> финансовой организации</w:t>
      </w:r>
      <w:r>
        <w:rPr>
          <w:rFonts w:eastAsia="Tahoma"/>
        </w:rPr>
      </w:r>
    </w:p>
    <w:p>
      <w:pPr>
        <w:numPr>
          <w:ilvl w:val="0"/>
          <w:numId w:val="3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Отчет о потоках денежных средств </w:t>
      </w:r>
      <w:r>
        <w:rPr>
          <w:rFonts w:eastAsia="Tahoma"/>
        </w:rPr>
        <w:t xml:space="preserve">некредитной</w:t>
      </w:r>
      <w:r>
        <w:rPr>
          <w:rFonts w:eastAsia="Tahoma"/>
        </w:rPr>
        <w:t xml:space="preserve"> финансовой организации</w:t>
      </w:r>
      <w:r>
        <w:rPr>
          <w:rFonts w:eastAsia="Tahoma"/>
        </w:rPr>
      </w:r>
    </w:p>
    <w:p>
      <w:pPr>
        <w:numPr>
          <w:ilvl w:val="0"/>
          <w:numId w:val="3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Примечания в составе БФО </w:t>
      </w:r>
      <w:r>
        <w:rPr>
          <w:rFonts w:eastAsia="Tahoma"/>
        </w:rPr>
        <w:t xml:space="preserve">некредитной</w:t>
      </w:r>
      <w:r>
        <w:rPr>
          <w:rFonts w:eastAsia="Tahoma"/>
        </w:rPr>
        <w:t xml:space="preserve"> финансовой организации</w:t>
      </w:r>
      <w:r>
        <w:rPr>
          <w:rFonts w:eastAsia="Tahoma"/>
        </w:rPr>
      </w:r>
    </w:p>
    <w:p>
      <w:pPr>
        <w:numPr>
          <w:ilvl w:val="0"/>
          <w:numId w:val="33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Практические примеры составления БФО</w:t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понимание составления бухгалтерской (финансовой) отчетности </w:t>
      </w:r>
      <w:r>
        <w:t xml:space="preserve">некредитной</w:t>
      </w:r>
      <w:r>
        <w:t xml:space="preserve"> финансовой организации при осуществлении аудита и консалтинга аудиторскими организациями (аудиторами).</w:t>
      </w:r>
      <w:r/>
    </w:p>
    <w:p>
      <w:pPr>
        <w:jc w:val="both"/>
      </w:pPr>
      <w:r/>
      <w:r/>
    </w:p>
    <w:p>
      <w:pPr>
        <w:jc w:val="both"/>
        <w:spacing w:line="259" w:lineRule="auto"/>
      </w:pPr>
      <w:r/>
      <w:r/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6-6-03 «АКТУАЛЬНЫЕ ВОПРОСЫ ПРИМЕНЕНИЯ ОТРАСЛЕВЫХ СТАНДАРТОВ БУХГАЛТЕРСКОГО УЧЕТА ПРИ АУДИТЕ БУХГАЛТЕРСКОЙ ОТЧЕТНОСТИ НЕКРЕДИТНЫХ ФИНАНСОВЫХ ОРГАНИЗАЦИЙ»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24 академических часа.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- изучение особенностей бухгалтерского учета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 в соответствии с требованиями Банка России.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Регулирование, контроль и надзор - Центральный Банк Российской Федерации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</w:t>
      </w:r>
      <w:r>
        <w:rPr>
          <w:rFonts w:eastAsia="Calibri"/>
          <w:lang w:eastAsia="en-US"/>
        </w:rPr>
        <w:t xml:space="preserve">Полномочия Банка России по регулированию, контролю и надзору в сфере финансовых рынков. Регулирующие, контрольные и надзорные функции Банка России в сфере финансовых рынков.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>
        <w:rPr>
          <w:rFonts w:eastAsia="Calibri"/>
          <w:lang w:eastAsia="en-US"/>
        </w:rPr>
        <w:t xml:space="preserve">Нормативы и иные требован</w:t>
      </w:r>
      <w:r>
        <w:rPr>
          <w:rFonts w:eastAsia="Calibri"/>
          <w:lang w:eastAsia="en-US"/>
        </w:rPr>
        <w:t xml:space="preserve">ия Банка России: требования к собственным средствам (капиталу) или чистым активам, обязательные (финансовые, экономические) нормативы, а также иные требования в соответствии с федеральными законами, регулирующими деятельность соответствующих организаций.  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>
        <w:rPr>
          <w:rFonts w:eastAsia="Calibri"/>
          <w:lang w:eastAsia="en-US"/>
        </w:rPr>
        <w:t xml:space="preserve">Требования, предъявляемые нормативными актами Банка России к правилам внутреннего контроля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 Проверки Банком России деятельности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направление </w:t>
      </w:r>
      <w:r>
        <w:rPr>
          <w:rFonts w:eastAsia="Calibri"/>
          <w:lang w:eastAsia="en-US"/>
        </w:rPr>
        <w:t xml:space="preserve">некредитным</w:t>
      </w:r>
      <w:r>
        <w:rPr>
          <w:rFonts w:eastAsia="Calibri"/>
          <w:lang w:eastAsia="en-US"/>
        </w:rPr>
        <w:t xml:space="preserve"> финансовым организациям обязательных для исполнения предписаний. Требования к обеспечению защиты информации при осуществлении деятельности в сфере финансовых рынков.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</w:t>
      </w:r>
      <w:r>
        <w:rPr>
          <w:rFonts w:eastAsia="Calibri"/>
          <w:lang w:eastAsia="en-US"/>
        </w:rPr>
        <w:t xml:space="preserve">Требования о предоставлении сведений в Росфинмониторинг.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</w:t>
      </w:r>
      <w:r>
        <w:rPr>
          <w:rFonts w:eastAsia="Calibri"/>
          <w:lang w:eastAsia="en-US"/>
        </w:rPr>
        <w:t xml:space="preserve">Виды деятельности НФО. Саморегулируемые организации в сфере финансового рынка и членство в них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 </w:t>
      </w:r>
      <w:r>
        <w:rPr>
          <w:rFonts w:eastAsia="Calibri"/>
          <w:lang w:eastAsia="en-US"/>
        </w:rPr>
        <w:t xml:space="preserve">Сроки и порядок составления и представления отчетности, а также другой информации, предусмотренной федеральными законами, установленные Банком России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Правила ведения бухгалтерского учета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Основные принципы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Единый план счетов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Порядок отражения на счетах бухгалтерского учета объектов бухгалтерского учета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организациями.</w:t>
      </w:r>
      <w:r>
        <w:rPr>
          <w:rFonts w:eastAsia="Calibri"/>
          <w:lang w:eastAsia="en-US"/>
        </w:rPr>
      </w:r>
    </w:p>
    <w:p>
      <w:pPr>
        <w:numPr>
          <w:ilvl w:val="0"/>
          <w:numId w:val="3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Порядок осуществления бухгалтерского учета в соответствии с Положениями Банка России. </w:t>
      </w:r>
      <w:r>
        <w:rPr>
          <w:rFonts w:eastAsia="Calibri"/>
          <w:lang w:eastAsia="en-US"/>
        </w:rPr>
      </w:r>
    </w:p>
    <w:p>
      <w:pPr>
        <w:numPr>
          <w:ilvl w:val="0"/>
          <w:numId w:val="32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отражения финансовых инструментов в соответствии с МСФО.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3. Правила учета отложенных налогов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</w:t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1. </w:t>
      </w:r>
      <w:r>
        <w:rPr>
          <w:rFonts w:eastAsia="Calibri"/>
          <w:lang w:eastAsia="en-US"/>
        </w:rPr>
        <w:t xml:space="preserve">Порядок признания отложенных налоговых обязательств и отложенных налоговых активов.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2. </w:t>
      </w:r>
      <w:r>
        <w:rPr>
          <w:rFonts w:eastAsia="Calibri"/>
          <w:lang w:eastAsia="en-US"/>
        </w:rPr>
        <w:t xml:space="preserve">Порядок отражения отложенного налога на прибыль в связи с переоценкой основного средства.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3. </w:t>
      </w:r>
      <w:r>
        <w:rPr>
          <w:rFonts w:eastAsia="Calibri"/>
          <w:lang w:eastAsia="en-US"/>
        </w:rPr>
        <w:t xml:space="preserve">Порядок отражения отложенного налога на прибыль в связи с переоценкой долевых и долговых ценных бумаг и формированием резерва под обесценение.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4. Актуальные вопросы бухгалтерского учета объектов бухгалтерского учета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 и применения методов аудита в рамках аудиторской проверки НФО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Соответствие записей по отражению на счетах бухгалтерского учета операций с ценными бумаги требованиям </w:t>
      </w:r>
      <w:hyperlink r:id="rId59" w:tooltip="https://login.consultant.ru/link/?req=doc&amp;demo=2&amp;base=LAW&amp;n=365734&amp;date=26.06.2022" w:history="1">
        <w:r>
          <w:rPr>
            <w:rFonts w:eastAsia="Calibri"/>
            <w:u w:val="single"/>
            <w:lang w:eastAsia="en-US"/>
          </w:rPr>
          <w:t xml:space="preserve">Положения</w:t>
        </w:r>
      </w:hyperlink>
      <w:r>
        <w:rPr>
          <w:rFonts w:eastAsia="Calibri"/>
          <w:lang w:eastAsia="en-US"/>
        </w:rPr>
        <w:t xml:space="preserve"> Банка России от 1 октября 2015 г. N 494-П "Отраслевой стандарт бухгалтерского учета операций с ценными бумагами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организациях", а также корректность включения информации об операциях с ценными бумагами в бухгалтерскую отчетность.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Корректность и полнота предста</w:t>
      </w:r>
      <w:r>
        <w:rPr>
          <w:rFonts w:eastAsia="Calibri"/>
          <w:lang w:eastAsia="en-US"/>
        </w:rPr>
        <w:t xml:space="preserve">вления в бухгалтерской отчетности информации об инвестициях в ассоциированные предприятия, а также соответствие раскрытой информации о вложениях в ассоциированные предприятия в бухгалтерской отчетности информации, отраженной на счетах бухгалтерского учета.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Подход к определению критерия существенности при признании разницы ме</w:t>
      </w:r>
      <w:r>
        <w:rPr>
          <w:rFonts w:eastAsia="Calibri"/>
          <w:lang w:eastAsia="en-US"/>
        </w:rPr>
        <w:t xml:space="preserve">жду амортизированной стоимостью финансового актива, рассчитанной с применением линейного метода признания процентного дохода, и амортизированной стоимостью финансового актива, рассчитанной с применением метода эффективной процентной ставки, несущественной.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Соответствие применяемой методики определения убытка от обесценения вложений в акции дочерних и ассоциированных акционерных обществ, оцениваемых в соответствии с </w:t>
      </w:r>
      <w:hyperlink r:id="rId60" w:tooltip="https://login.consultant.ru/link/?req=doc&amp;demo=2&amp;base=LAW&amp;n=202325&amp;dst=100091&amp;field=134&amp;date=26.06.2022" w:history="1">
        <w:r>
          <w:rPr>
            <w:rFonts w:eastAsia="Calibri"/>
            <w:u w:val="single"/>
            <w:lang w:eastAsia="en-US"/>
          </w:rPr>
          <w:t xml:space="preserve">пунктом 10</w:t>
        </w:r>
      </w:hyperlink>
      <w:r>
        <w:rPr>
          <w:rFonts w:eastAsia="Calibri"/>
          <w:lang w:eastAsia="en-US"/>
        </w:rPr>
        <w:t xml:space="preserve"> МСФО (IAS) 27 "Отдельная финансовая отчетность" по первоначальной стоимости, требованиям </w:t>
      </w:r>
      <w:hyperlink r:id="rId61" w:tooltip="https://login.consultant.ru/link/?req=doc&amp;demo=2&amp;base=LAW&amp;n=374630&amp;date=26.06.2022" w:history="1">
        <w:r>
          <w:rPr>
            <w:rFonts w:eastAsia="Calibri"/>
            <w:u w:val="single"/>
            <w:lang w:eastAsia="en-US"/>
          </w:rPr>
          <w:t xml:space="preserve">МСФО (IAS) 36</w:t>
        </w:r>
      </w:hyperlink>
      <w:r>
        <w:rPr>
          <w:rFonts w:eastAsia="Calibri"/>
          <w:lang w:eastAsia="en-US"/>
        </w:rPr>
        <w:t xml:space="preserve"> "Обесценение активов".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Методика проведения SPPI-тестов (оценка условий выпуска </w:t>
      </w:r>
      <w:r>
        <w:rPr>
          <w:rFonts w:eastAsia="Calibri"/>
          <w:lang w:eastAsia="en-US"/>
        </w:rPr>
        <w:t xml:space="preserve">ценных бумаг, обусловливающих получение в указанные даты денежных потоков, являющихся исключительно платежами в счет основной суммы долга и процентов на непогашенную часть основной суммы долга) при вложениях в долговые ценные бумаги иностранных эмитентов.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 Подход к проведению классификации финансовых инструментов в соответствии с </w:t>
      </w:r>
      <w:hyperlink r:id="rId62" w:tooltip="https://login.consultant.ru/link/?req=doc&amp;demo=2&amp;base=LAW&amp;n=380195&amp;date=26.06.2022" w:history="1">
        <w:r>
          <w:rPr>
            <w:rFonts w:eastAsia="Calibri"/>
            <w:u w:val="single"/>
            <w:lang w:eastAsia="en-US"/>
          </w:rPr>
          <w:t xml:space="preserve">МСФО (IFRS) 9</w:t>
        </w:r>
      </w:hyperlink>
      <w:r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7. Корректность представления в финансовой отчетности информации об изменении оценочного резерва под убытки, раскрываемой в соответствии с </w:t>
      </w:r>
      <w:hyperlink r:id="rId63" w:tooltip="https://login.consultant.ru/link/?req=doc&amp;demo=2&amp;base=LAW&amp;n=380200&amp;date=26.06.2022" w:history="1">
        <w:r>
          <w:rPr>
            <w:rFonts w:eastAsia="Calibri"/>
            <w:u w:val="single"/>
            <w:lang w:eastAsia="en-US"/>
          </w:rPr>
          <w:t xml:space="preserve">МСФО (IFRS) 7</w:t>
        </w:r>
      </w:hyperlink>
      <w:r>
        <w:rPr>
          <w:rFonts w:eastAsia="Calibri"/>
          <w:lang w:eastAsia="en-US"/>
        </w:rPr>
        <w:t xml:space="preserve">, а также корректность порядка расчета количественных показателей при раскрытии информации о факторах, которые способствовали изменению оценочного резерва под убытки.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8. Методика анализа чувствительности по каждому виду рыночного риска, которому подвержена </w:t>
      </w:r>
      <w:r>
        <w:rPr>
          <w:rFonts w:eastAsia="Calibri"/>
          <w:lang w:eastAsia="en-US"/>
        </w:rPr>
        <w:t xml:space="preserve">некредитная</w:t>
      </w:r>
      <w:r>
        <w:rPr>
          <w:rFonts w:eastAsia="Calibri"/>
          <w:lang w:eastAsia="en-US"/>
        </w:rPr>
        <w:t xml:space="preserve"> финансовая организация на дату окончания отчетного периода, показывающего влияние на прибыль или убыток и собственный капитал, а также полноту представления данной информации в финансовой отчетности в соответствии с </w:t>
      </w:r>
      <w:hyperlink r:id="rId64" w:tooltip="https://login.consultant.ru/link/?req=doc&amp;demo=2&amp;base=LAW&amp;n=380200&amp;date=26.06.2022" w:history="1">
        <w:r>
          <w:rPr>
            <w:rFonts w:eastAsia="Calibri"/>
            <w:u w:val="single"/>
            <w:lang w:eastAsia="en-US"/>
          </w:rPr>
          <w:t xml:space="preserve">МСФО (IFRS) 7</w:t>
        </w:r>
      </w:hyperlink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9. Соответствие методики оценки резерва под ожидаемые кредитные убытки по финансовым инструментам </w:t>
      </w:r>
      <w:hyperlink r:id="rId65" w:tooltip="https://login.consultant.ru/link/?req=doc&amp;demo=2&amp;base=LAW&amp;n=380195&amp;date=26.06.2022" w:history="1">
        <w:r>
          <w:rPr>
            <w:rFonts w:eastAsia="Calibri"/>
            <w:u w:val="single"/>
            <w:lang w:eastAsia="en-US"/>
          </w:rPr>
          <w:t xml:space="preserve">МСФО (IFRS) 9</w:t>
        </w:r>
      </w:hyperlink>
      <w:r>
        <w:rPr>
          <w:rFonts w:eastAsia="Calibri"/>
          <w:lang w:eastAsia="en-US"/>
        </w:rPr>
        <w:t xml:space="preserve">, а именно: метод расчета вероятности наступления события дефолта и уровня потерь при дефолте, расп</w:t>
      </w:r>
      <w:r>
        <w:rPr>
          <w:rFonts w:eastAsia="Calibri"/>
          <w:lang w:eastAsia="en-US"/>
        </w:rPr>
        <w:t xml:space="preserve">ределение финансовых инструментов по стадиям в зависимости от изменения уровня кредитного риска, подход к группировке финансовых инструментов, впоследствии влияющий на создание резервов под ожидаемые кредитные убытки на индивидуальной или групповой основе.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10. По</w:t>
      </w:r>
      <w:r>
        <w:rPr>
          <w:rFonts w:eastAsia="Calibri"/>
          <w:lang w:eastAsia="en-US"/>
        </w:rPr>
        <w:t xml:space="preserve">рядок признания финансовых инструментов, подлежащих взаимозачету и подпадающих под действие обеспеченного правовой защитой генерального соглашения о взаимозачете, а также полноту раскрытия информации о взаимозачете финансовых инструментов в соответствии с </w:t>
      </w:r>
      <w:hyperlink r:id="rId66" w:tooltip="https://login.consultant.ru/link/?req=doc&amp;demo=2&amp;base=LAW&amp;n=380200&amp;dst=100067&amp;field=134&amp;date=26.06.2022" w:history="1">
        <w:r>
          <w:rPr>
            <w:rFonts w:eastAsia="Calibri"/>
            <w:u w:val="single"/>
            <w:lang w:eastAsia="en-US"/>
          </w:rPr>
          <w:t xml:space="preserve">пунктами 13А</w:t>
        </w:r>
      </w:hyperlink>
      <w:r>
        <w:rPr>
          <w:rFonts w:eastAsia="Calibri"/>
          <w:lang w:eastAsia="en-US"/>
        </w:rPr>
        <w:t xml:space="preserve">-</w:t>
      </w:r>
      <w:hyperlink r:id="rId67" w:tooltip="https://login.consultant.ru/link/?req=doc&amp;demo=2&amp;base=LAW&amp;n=380200&amp;dst=100080&amp;field=134&amp;date=26.06.2022" w:history="1">
        <w:r>
          <w:rPr>
            <w:rFonts w:eastAsia="Calibri"/>
            <w:u w:val="single"/>
            <w:lang w:eastAsia="en-US"/>
          </w:rPr>
          <w:t xml:space="preserve">13F</w:t>
        </w:r>
      </w:hyperlink>
      <w:r>
        <w:rPr>
          <w:rFonts w:eastAsia="Calibri"/>
          <w:lang w:eastAsia="en-US"/>
        </w:rPr>
        <w:t xml:space="preserve"> МСФО (IFRS) 7.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11. Соответствие подхода к определению справедливой стоимости финансовых активов и финансовых обязательств, по которым недоступны релевантные наблюдаемые исходные данные (исходные данные Уровня 3), </w:t>
      </w:r>
      <w:hyperlink r:id="rId68" w:tooltip="https://login.consultant.ru/link/?req=doc&amp;demo=2&amp;base=LAW&amp;n=202743&amp;date=26.06.2022" w:history="1">
        <w:r>
          <w:rPr>
            <w:rFonts w:eastAsia="Calibri"/>
            <w:u w:val="single"/>
            <w:lang w:eastAsia="en-US"/>
          </w:rPr>
          <w:t xml:space="preserve">МСФО (IFRS) 13</w:t>
        </w:r>
      </w:hyperlink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12. Полнота раскрытия информации о справедливой стоимости финансовых инструментов и соответствие раскрытой информации </w:t>
      </w:r>
      <w:hyperlink r:id="rId69" w:tooltip="https://login.consultant.ru/link/?req=doc&amp;demo=2&amp;base=LAW&amp;n=202743&amp;dst=100184&amp;field=134&amp;date=26.06.2022" w:history="1">
        <w:r>
          <w:rPr>
            <w:rFonts w:eastAsia="Calibri"/>
            <w:u w:val="single"/>
            <w:lang w:eastAsia="en-US"/>
          </w:rPr>
          <w:t xml:space="preserve">пункту 90</w:t>
        </w:r>
      </w:hyperlink>
      <w:r>
        <w:rPr>
          <w:rFonts w:eastAsia="Calibri"/>
          <w:lang w:eastAsia="en-US"/>
        </w:rPr>
        <w:t xml:space="preserve"> МСФО (IFRS).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13. Корректность трансформации бухгалтерской отчетности, составленной в соответствии с российскими стандартами бухгалтерского учета, в финансовую отчетность по МСФО.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14. Подтверждение дебиторской и кредиторской задолженности с учетом фактически завершенных между сторонами действий в рамках договоров.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15. Проверка соответствия сформированных в учете и отраженных в бухгалтерской отчетности отложенных налогов требованиям </w:t>
      </w:r>
      <w:hyperlink r:id="rId70" w:tooltip="https://login.consultant.ru/link/?req=doc&amp;demo=2&amp;base=LAW&amp;n=209457&amp;date=26.06.2022" w:history="1">
        <w:r>
          <w:rPr>
            <w:rFonts w:eastAsia="Calibri"/>
            <w:u w:val="single"/>
            <w:lang w:eastAsia="en-US"/>
          </w:rPr>
          <w:t xml:space="preserve">Положения</w:t>
        </w:r>
      </w:hyperlink>
      <w:r>
        <w:rPr>
          <w:rFonts w:eastAsia="Calibri"/>
          <w:lang w:eastAsia="en-US"/>
        </w:rPr>
        <w:t xml:space="preserve"> Банка России от 4 сентября 2015 г. N 490-П "Отраслевой стандарт бухгалтерского учета отложенных налоговых обязательств и отложенных налоговых активов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организациями"; правомерность признания отложенных налоговых активов.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16. Анализ существенных изменений в учетной политике и порядок их отражения; оценка причин существенных изменений, в том числе порядок</w:t>
      </w:r>
      <w:r>
        <w:rPr>
          <w:rFonts w:eastAsia="Calibri"/>
          <w:lang w:eastAsia="en-US"/>
        </w:rPr>
        <w:t xml:space="preserve"> отражения в бухгалтерском учете и отчетности изменений, связанных с корректировкой подходов, бухгалтерских оценок, выявления ошибок в предыдущих периодах, изменений учетной политики и проверка соблюдения требований о ретроспективном пересчете показателей.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17. Анализ операций со связанными сторонами в целях получения достоверной информации об отсутствии риска мошенничества, в том числе проверка операций на нерыночных условиях.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18. Правомерность осуществления (влияние на капитал) страховыми организациями и негосударственными пенсионными фондами корректировок до наилучшей оценки величин страховых резервов и пенсионных обязательств соответственно.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19. Проверка наличия мнимых и притворных объектов бухгалтерского учета, используемых для завышения стоимости активов и искусственного формирования капитала кредитных потребительских кооперативов в неденежной форме.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20. Соблюдение </w:t>
      </w:r>
      <w:hyperlink r:id="rId71" w:tooltip="https://login.consultant.ru/link/?req=doc&amp;demo=2&amp;base=LAW&amp;n=380195&amp;date=26.06.2022" w:history="1">
        <w:r>
          <w:rPr>
            <w:rFonts w:eastAsia="Calibri"/>
            <w:u w:val="single"/>
            <w:lang w:eastAsia="en-US"/>
          </w:rPr>
          <w:t xml:space="preserve">МСФО (IFRS) 9</w:t>
        </w:r>
      </w:hyperlink>
      <w:r>
        <w:rPr>
          <w:rFonts w:eastAsia="Calibri"/>
          <w:lang w:eastAsia="en-US"/>
        </w:rPr>
        <w:t xml:space="preserve"> при расчете резервов под обесценение по предоставленным денежным займам в соответствии с </w:t>
      </w:r>
      <w:hyperlink r:id="rId72" w:tooltip="https://login.consultant.ru/link/?req=doc&amp;demo=2&amp;base=LAW&amp;n=365733&amp;date=26.06.2022" w:history="1">
        <w:r>
          <w:rPr>
            <w:rFonts w:eastAsia="Calibri"/>
            <w:u w:val="single"/>
            <w:lang w:eastAsia="en-US"/>
          </w:rPr>
          <w:t xml:space="preserve">Положением</w:t>
        </w:r>
      </w:hyperlink>
      <w:r>
        <w:rPr>
          <w:rFonts w:eastAsia="Calibri"/>
          <w:lang w:eastAsia="en-US"/>
        </w:rPr>
        <w:t xml:space="preserve"> Банка России от 1 октября 2015 г. N 493-П "Отраслевой стандарт бухгалтерского учета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 операций по выдаче (размещению) денежных средств по договорам займа и договорам банковского вклада", в том числе результаты оценки ожидаемых кредитных убытков, применяемой микрофинансовыми организациями для формирования </w:t>
      </w:r>
      <w:r>
        <w:rPr>
          <w:rFonts w:eastAsia="Calibri"/>
          <w:lang w:eastAsia="en-US"/>
        </w:rPr>
        <w:t xml:space="preserve">резервов под обесценение по предоставленным займам и их соответствие фактическим кредитным убыткам по аналогичным займам в предыдущих периодах, скорректированным с учетом изменения релевантных наблюдаемых данных (например, уровня безработицы и уровня цен).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21. Корректность расчета обязательного норматива достаточности капитала профессиональными участниками рынка ценных бумаг (введен с 1 октября 2021 г.).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5. Меры Банка России по стабилизации ситуации на финансовых рынках в условиях реализации санкционных рисков.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Регуляторные послабления в отношении всех участников финансового рынка — общие регуляторные послабления.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Регуляторные послабления, направленные непосредственно на </w:t>
      </w:r>
      <w:r>
        <w:rPr>
          <w:rFonts w:eastAsia="Calibri"/>
          <w:lang w:eastAsia="en-US"/>
        </w:rPr>
        <w:t xml:space="preserve">некредитные</w:t>
      </w:r>
      <w:r>
        <w:rPr>
          <w:rFonts w:eastAsia="Calibri"/>
          <w:lang w:eastAsia="en-US"/>
        </w:rPr>
        <w:t xml:space="preserve"> финансовые организации (по типам НФО):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профессиональные участники рынка ценных бумаг;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страховые организации;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негосударственные пенсионные фонды;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управляющие компании;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организаторы торговли и клиринговые организации;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другие типы НФО.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Регуляторные послабления и иные антикризисные меры в отношении эмитентов ценных бумаг.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</w:pPr>
      <w:r>
        <w:rPr>
          <w:rFonts w:eastAsia="Calibri"/>
          <w:lang w:eastAsia="en-US"/>
        </w:rPr>
        <w:t xml:space="preserve">Глубокое и детальное понимание норм Положений и отраслевых стандартов Банка России в отношении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организациях, формирование знаний и выработка навыков для проведения аудита бухгалтерской отчетности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организации.</w:t>
      </w:r>
      <w:r>
        <w:t xml:space="preserve">  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6-6-04 «АКТУАЛЬНЫЕ ВОПРОСЫ ПРИМЕНЕНИЯ ОТРАСЛЕВЫХ СТАНДАРТОВ БУХГАЛТЕРСКОГО УЧЕТА ПРИ АУДИТЕ БУХГАЛТЕРСКОЙ ОТЧЕТНОСТИ НЕКРЕДИТНЫХ ФИНАНСОВЫХ ОРГАНИЗАЦИЙ» </w:t>
      </w:r>
      <w:r>
        <w:rPr>
          <w:b/>
        </w:rPr>
      </w:r>
    </w:p>
    <w:p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hd w:val="clear" w:color="auto" w:fill="ffffff"/>
        <w:rPr>
          <w:bCs/>
        </w:rPr>
      </w:pPr>
      <w:r>
        <w:rPr>
          <w:b/>
        </w:rPr>
        <w:t xml:space="preserve">Продолжительность обучения – </w:t>
      </w:r>
      <w:r>
        <w:rPr>
          <w:bCs/>
        </w:rPr>
        <w:t xml:space="preserve">8 академических часов</w:t>
      </w:r>
      <w:r>
        <w:rPr>
          <w:bCs/>
        </w:rPr>
        <w:t xml:space="preserve">.</w:t>
      </w:r>
      <w:r>
        <w:rPr>
          <w:bCs/>
        </w:rPr>
      </w:r>
    </w:p>
    <w:p>
      <w:pPr>
        <w:jc w:val="both"/>
        <w:shd w:val="clear" w:color="auto" w:fill="ffffff"/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rPr>
          <w:bCs/>
        </w:rPr>
      </w:pPr>
      <w:r>
        <w:rPr>
          <w:b/>
        </w:rPr>
        <w:t xml:space="preserve">Цель программы - </w:t>
      </w:r>
      <w:r>
        <w:rPr>
          <w:bCs/>
        </w:rPr>
        <w:t xml:space="preserve">изучение особенностей бухгалтерского учета </w:t>
      </w:r>
      <w:r>
        <w:rPr>
          <w:bCs/>
        </w:rPr>
        <w:t xml:space="preserve">некредитных</w:t>
      </w:r>
      <w:r>
        <w:rPr>
          <w:bCs/>
        </w:rPr>
        <w:t xml:space="preserve"> финансовых организаций в соответствии с требованиями Банка России. </w:t>
      </w:r>
      <w:r>
        <w:rPr>
          <w:bCs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1. Регулирование, контроль и надзор - Центральный Банк Российской Федерации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1"/>
          <w:numId w:val="107"/>
        </w:numPr>
        <w:contextualSpacing/>
        <w:ind w:left="0" w:hanging="11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Обзор последних изменений в законодательстве. Нормативы и иные требования Банка России.</w:t>
      </w:r>
      <w:r>
        <w:rPr>
          <w:rFonts w:eastAsiaTheme="minorHAnsi"/>
          <w:sz w:val="22"/>
          <w:szCs w:val="22"/>
          <w:lang w:eastAsia="en-US"/>
        </w:rPr>
      </w:r>
    </w:p>
    <w:p>
      <w:pPr>
        <w:numPr>
          <w:ilvl w:val="1"/>
          <w:numId w:val="107"/>
        </w:numPr>
        <w:contextualSpacing/>
        <w:ind w:left="0" w:hanging="11"/>
        <w:jc w:val="both"/>
        <w:rPr>
          <w:rFonts w:eastAsiaTheme="minorHAnsi"/>
          <w:sz w:val="22"/>
          <w:lang w:eastAsia="en-US"/>
        </w:rPr>
      </w:pPr>
      <w:r>
        <w:t xml:space="preserve">Регуляторные послабления Банка России по стабилизации ситуации на финансовых рынках в условиях реализации санкционных рисков направленные непосредственно на </w:t>
      </w:r>
      <w:r>
        <w:t xml:space="preserve">некредитные</w:t>
      </w:r>
      <w:r>
        <w:t xml:space="preserve"> финансовые организации.</w:t>
      </w:r>
      <w:r>
        <w:rPr>
          <w:rFonts w:eastAsiaTheme="minorHAnsi"/>
          <w:sz w:val="22"/>
          <w:lang w:eastAsia="en-US"/>
        </w:rPr>
      </w:r>
    </w:p>
    <w:p>
      <w:pPr>
        <w:numPr>
          <w:ilvl w:val="1"/>
          <w:numId w:val="107"/>
        </w:numPr>
        <w:contextualSpacing/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Роль и полномочия Банка России в организации проведения обязательного аудита бухгалтерской (финансовой) отчетности </w:t>
      </w:r>
      <w:r>
        <w:rPr>
          <w:rFonts w:eastAsiaTheme="minorHAnsi"/>
          <w:sz w:val="22"/>
          <w:szCs w:val="22"/>
          <w:lang w:eastAsia="en-US"/>
        </w:rPr>
        <w:t xml:space="preserve">некредитных</w:t>
      </w:r>
      <w:r>
        <w:rPr>
          <w:rFonts w:eastAsiaTheme="minorHAnsi"/>
          <w:sz w:val="22"/>
          <w:szCs w:val="22"/>
          <w:lang w:eastAsia="en-US"/>
        </w:rPr>
        <w:t xml:space="preserve"> финансовых организаций.  Требования к аудиторской организации.</w:t>
      </w:r>
      <w:r>
        <w:rPr>
          <w:rFonts w:eastAsiaTheme="minorHAnsi"/>
          <w:sz w:val="22"/>
          <w:szCs w:val="22"/>
          <w:lang w:eastAsia="en-US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2. Актуальные вопросы бухгалтерского учета объектов бухгалтерского учета в </w:t>
      </w:r>
      <w:r>
        <w:rPr>
          <w:b/>
        </w:rPr>
        <w:t xml:space="preserve">некредитных</w:t>
      </w:r>
      <w:r>
        <w:rPr>
          <w:b/>
        </w:rPr>
        <w:t xml:space="preserve"> финансовых организациях и применения методов аудита в рамках аудиторской проверки НФО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1. Обзор последних Ре</w:t>
      </w:r>
      <w:r>
        <w:t xml:space="preserve">комендаций Минфина России (Департамента регулирования бухгалтерского учета, финансовой отчетности и аудиторской деятельности) аудиторским организациям, индивидуальным аудиторам, аудиторам по проведению аудита годовой бухгалтерской отчетности организаций.  </w:t>
      </w:r>
      <w:r/>
    </w:p>
    <w:p>
      <w:pPr>
        <w:jc w:val="both"/>
      </w:pPr>
      <w:r>
        <w:t xml:space="preserve">2. Учет запасов в </w:t>
      </w:r>
      <w:r>
        <w:t xml:space="preserve">некредитной</w:t>
      </w:r>
      <w:r>
        <w:t xml:space="preserve"> финансовой организации.</w:t>
      </w:r>
      <w:r/>
    </w:p>
    <w:p>
      <w:pPr>
        <w:jc w:val="both"/>
      </w:pPr>
      <w:r>
        <w:t xml:space="preserve">3. Изменения порядка составления бухгалтерской отчетности </w:t>
      </w:r>
      <w:r>
        <w:t xml:space="preserve">некредитной</w:t>
      </w:r>
      <w:r>
        <w:t xml:space="preserve"> финансовой организации.</w:t>
      </w:r>
      <w:r/>
    </w:p>
    <w:p>
      <w:pPr>
        <w:jc w:val="both"/>
      </w:pPr>
      <w:r>
        <w:t xml:space="preserve">4. Раскрытие предстоящих изменений учетной политики в годовой бухгалтерской отчетности </w:t>
      </w:r>
      <w:r>
        <w:t xml:space="preserve">некредитной</w:t>
      </w:r>
      <w:r>
        <w:t xml:space="preserve"> финансовой организации.</w:t>
      </w:r>
      <w:r/>
    </w:p>
    <w:p>
      <w:pPr>
        <w:jc w:val="both"/>
      </w:pPr>
      <w:r>
        <w:t xml:space="preserve">5. Вопросы осуществления аудиторских процедур при проведении аудита годовой бухгалтерской отчетности </w:t>
      </w:r>
      <w:r>
        <w:t xml:space="preserve">некредитных</w:t>
      </w:r>
      <w:r>
        <w:t xml:space="preserve"> финансовых организаций.</w:t>
      </w:r>
      <w:r/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и детальное понимание норм Положений и отраслевых стандартов Банка России в отношении бухгалтерского учета в </w:t>
      </w:r>
      <w:r>
        <w:t xml:space="preserve">некредитных</w:t>
      </w:r>
      <w:r>
        <w:t xml:space="preserve"> финансовых организациях для проведения аудита бухгалтерской отчетности </w:t>
      </w:r>
      <w:r>
        <w:t xml:space="preserve">некредитной</w:t>
      </w:r>
      <w:r>
        <w:t xml:space="preserve"> финансовой организации. </w:t>
      </w:r>
      <w:r/>
    </w:p>
    <w:p>
      <w:pPr>
        <w:ind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</w:pPr>
      <w:r/>
      <w:r/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6-6-05 «ОТРАСЛЕВЫЕ СТАНДАРТЫ БУХГАЛТЕРСКОГО УЧЕТА: НЕКРЕДИТНЫЕ ФИНАНСОВЫЕ ОРГАНИЗАЦИИ» </w:t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— 20 академических часов.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— углубление знаний аудиторов и руководителей аудита общественно значимых организаций, желающих специализироваться на аудите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 (НФО), в части законодательства, особенностей деятельности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 (НФО), организации бухгалтерского учета.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iCs/>
          <w:lang w:eastAsia="en-US"/>
        </w:rPr>
        <w:t xml:space="preserve">Тема 1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bCs/>
          <w:lang w:eastAsia="en-US"/>
        </w:rPr>
        <w:t xml:space="preserve">Система нормативного регулирования объектов бухгалтерского учета </w:t>
      </w:r>
      <w:r>
        <w:rPr>
          <w:rFonts w:eastAsia="Calibri"/>
          <w:b/>
          <w:bCs/>
          <w:lang w:eastAsia="en-US"/>
        </w:rPr>
        <w:t xml:space="preserve">некредитных</w:t>
      </w:r>
      <w:r>
        <w:rPr>
          <w:rFonts w:eastAsia="Calibri"/>
          <w:b/>
          <w:bCs/>
          <w:lang w:eastAsia="en-US"/>
        </w:rPr>
        <w:t xml:space="preserve"> финансовых организаций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</w:r>
    </w:p>
    <w:p>
      <w:pPr>
        <w:numPr>
          <w:ilvl w:val="0"/>
          <w:numId w:val="39"/>
        </w:numPr>
        <w:contextualSpacing/>
        <w:ind w:left="360" w:hanging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Полномочия Банка России по регулированию, контролю и надзору в сфере финансовых рынков.  Унификация требований Банка России к бухгалтерской (финансовой) отчетности участников финансового рынка. </w:t>
      </w:r>
      <w:r>
        <w:rPr>
          <w:rFonts w:eastAsia="Tahoma"/>
          <w:lang w:eastAsia="en-US"/>
        </w:rPr>
      </w:r>
    </w:p>
    <w:p>
      <w:pPr>
        <w:numPr>
          <w:ilvl w:val="0"/>
          <w:numId w:val="39"/>
        </w:numPr>
        <w:contextualSpacing/>
        <w:ind w:left="360" w:hanging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Единый план счетов бухгалтерского учета для </w:t>
      </w:r>
      <w:r>
        <w:rPr>
          <w:rFonts w:eastAsia="Tahoma"/>
          <w:lang w:eastAsia="en-US"/>
        </w:rPr>
        <w:t xml:space="preserve">некредитных</w:t>
      </w:r>
      <w:r>
        <w:rPr>
          <w:rFonts w:eastAsia="Tahoma"/>
          <w:lang w:eastAsia="en-US"/>
        </w:rPr>
        <w:t xml:space="preserve"> финансовых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39"/>
        </w:numPr>
        <w:contextualSpacing/>
        <w:ind w:left="360" w:hanging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Отраслевые стандарты бухгалтерского учета в НФО. МСФО как методологическая основа для разработки отраслевых стандартов бухгалтерского учета </w:t>
      </w:r>
      <w:r>
        <w:rPr>
          <w:rFonts w:eastAsia="Tahoma"/>
          <w:lang w:eastAsia="en-US"/>
        </w:rPr>
        <w:t xml:space="preserve">некредитных</w:t>
      </w:r>
      <w:r>
        <w:rPr>
          <w:rFonts w:eastAsia="Tahoma"/>
          <w:lang w:eastAsia="en-US"/>
        </w:rPr>
        <w:t xml:space="preserve"> финансовых организаций.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Тема 2</w:t>
      </w:r>
      <w:r>
        <w:rPr>
          <w:rFonts w:eastAsia="Calibri"/>
          <w:b/>
          <w:bCs/>
          <w:i/>
          <w:iCs/>
          <w:lang w:eastAsia="en-US"/>
        </w:rPr>
        <w:t xml:space="preserve">.</w:t>
      </w:r>
      <w:r>
        <w:rPr>
          <w:rFonts w:eastAsia="Calibri"/>
          <w:b/>
          <w:bCs/>
          <w:lang w:eastAsia="en-US"/>
        </w:rPr>
        <w:t xml:space="preserve"> Единый план счетов бухгалтерского учета в НФО и порядок его применения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contextualSpacing/>
        <w:ind w:left="567" w:hanging="567"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1. Структура плана счетов для НФО.</w:t>
      </w:r>
      <w:r>
        <w:rPr>
          <w:rFonts w:eastAsia="Tahoma"/>
          <w:lang w:eastAsia="en-US"/>
        </w:rPr>
      </w:r>
    </w:p>
    <w:p>
      <w:pPr>
        <w:contextualSpacing/>
        <w:ind w:left="567" w:hanging="567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2. Организация синтетического и аналитического учета.</w:t>
      </w:r>
      <w:r>
        <w:rPr>
          <w:rFonts w:eastAsia="Tahoma"/>
          <w:lang w:eastAsia="en-US"/>
        </w:rPr>
      </w:r>
    </w:p>
    <w:p>
      <w:pPr>
        <w:contextualSpacing/>
        <w:ind w:left="567" w:hanging="567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3. Парные счета и принцип их закрытия.</w:t>
      </w:r>
      <w:r>
        <w:rPr>
          <w:rFonts w:eastAsia="Tahoma"/>
          <w:lang w:eastAsia="en-US"/>
        </w:rPr>
      </w:r>
    </w:p>
    <w:p>
      <w:pPr>
        <w:contextualSpacing/>
        <w:ind w:left="567" w:hanging="567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4. Порядок учета доходов и расходов.</w:t>
      </w:r>
      <w:r>
        <w:rPr>
          <w:rFonts w:eastAsia="Tahoma"/>
          <w:lang w:eastAsia="en-US"/>
        </w:rPr>
      </w:r>
    </w:p>
    <w:p>
      <w:pPr>
        <w:contextualSpacing/>
        <w:ind w:left="270" w:hanging="27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Тема 3.</w:t>
      </w:r>
      <w:r>
        <w:rPr>
          <w:rFonts w:eastAsia="Calibri"/>
          <w:b/>
          <w:bCs/>
          <w:i/>
          <w:iCs/>
          <w:lang w:eastAsia="en-US"/>
        </w:rPr>
        <w:t xml:space="preserve"> </w:t>
      </w:r>
      <w:r>
        <w:rPr>
          <w:rFonts w:eastAsia="Calibri"/>
          <w:b/>
          <w:bCs/>
          <w:lang w:eastAsia="en-US"/>
        </w:rPr>
        <w:t xml:space="preserve">Порядок бухгалтерского учета операций с ценными бумагами и производными финансовыми инструментами в </w:t>
      </w:r>
      <w:r>
        <w:rPr>
          <w:rFonts w:eastAsia="Calibri"/>
          <w:b/>
          <w:bCs/>
          <w:lang w:eastAsia="en-US"/>
        </w:rPr>
        <w:t xml:space="preserve">некредитных</w:t>
      </w:r>
      <w:r>
        <w:rPr>
          <w:rFonts w:eastAsia="Calibri"/>
          <w:b/>
          <w:bCs/>
          <w:lang w:eastAsia="en-US"/>
        </w:rPr>
        <w:t xml:space="preserve"> финансовых организациях в соответствии с отраслевыми стандартами бухгалтерского учета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Основные нормативные документы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Первоначальное признание ценных бумаг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Бизнес-модель организации и ее влияние на классификацию финансового инструмента. Изменение бизнес-модели и ее последствия для классификации/изменения классификации финансовых инструментов, отражения изменения в бухгалтерском учете и раскрытия в отчетности.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Классификация ценных бумаг для целей бухгалтерского учета. Критерии классификации ценных бумаг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Вложения в дочерние и ассоциированные компании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Амортизированная стоимость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Справедливая стоимость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Иерархия справедливой стоимости в соответствии с Международным стандартом финансовой отчетности МСФО (IFRS) 13 «Оценка справедливой стоимости». Понятие активного рынка 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учет ценных бумаг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left" w:pos="135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сделок РЕПО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contextualSpacing/>
        <w:ind w:left="0" w:firstLine="0"/>
        <w:jc w:val="both"/>
        <w:spacing w:after="160" w:line="259" w:lineRule="auto"/>
        <w:tabs>
          <w:tab w:val="left" w:pos="450" w:leader="none"/>
          <w:tab w:val="num" w:pos="99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Договор производных финансовых инструментов (ПФИ). Виды ПФИ.</w:t>
      </w:r>
      <w:r>
        <w:rPr>
          <w:rFonts w:eastAsia="Tahoma"/>
          <w:lang w:eastAsia="en-US"/>
        </w:rPr>
      </w:r>
    </w:p>
    <w:p>
      <w:pPr>
        <w:numPr>
          <w:ilvl w:val="0"/>
          <w:numId w:val="40"/>
        </w:numPr>
        <w:ind w:left="0" w:firstLine="0"/>
        <w:jc w:val="both"/>
        <w:spacing w:line="259" w:lineRule="auto"/>
        <w:tabs>
          <w:tab w:val="left" w:pos="45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Общие требования к учёту ПФИ. Оценка ПФИ</w:t>
      </w:r>
      <w:r>
        <w:rPr>
          <w:rFonts w:eastAsia="Calibri"/>
          <w:lang w:eastAsia="en-US"/>
        </w:rPr>
        <w:t xml:space="preserve"> – требования ОСБУ и рыночная практика использования МСФО. Отражение справедливой стоимости ПФИ при первоначальном признании. Отражение в учете форвардного поставочного контракта, форвардного расчетного контракта, расчетного/поставочного опциона, фьючерса.</w:t>
      </w:r>
      <w:r>
        <w:rPr>
          <w:rFonts w:eastAsia="Calibri"/>
          <w:lang w:eastAsia="en-US"/>
        </w:rPr>
      </w:r>
    </w:p>
    <w:p>
      <w:pPr>
        <w:numPr>
          <w:ilvl w:val="0"/>
          <w:numId w:val="40"/>
        </w:numPr>
        <w:ind w:left="0" w:firstLine="0"/>
        <w:jc w:val="both"/>
        <w:spacing w:line="259" w:lineRule="auto"/>
        <w:tabs>
          <w:tab w:val="left" w:pos="45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Порядок отражения на счетах бухгалтерского учета операций хеджирования.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tabs>
          <w:tab w:val="left" w:pos="45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Тема 4.</w:t>
      </w:r>
      <w:r>
        <w:rPr>
          <w:rFonts w:eastAsia="Calibri"/>
          <w:b/>
          <w:bCs/>
          <w:i/>
          <w:iCs/>
          <w:lang w:eastAsia="en-US"/>
        </w:rPr>
        <w:t xml:space="preserve"> </w:t>
      </w:r>
      <w:r>
        <w:rPr>
          <w:rFonts w:eastAsia="Calibri"/>
          <w:b/>
          <w:bCs/>
          <w:lang w:eastAsia="en-US"/>
        </w:rPr>
        <w:t xml:space="preserve">Учет выданных и полученных займов</w:t>
      </w:r>
      <w:r>
        <w:rPr>
          <w:rFonts w:eastAsia="Calibri"/>
          <w:b/>
          <w:bCs/>
          <w:i/>
          <w:iCs/>
          <w:lang w:eastAsia="en-US"/>
        </w:rPr>
        <w:t xml:space="preserve"> </w:t>
      </w:r>
      <w:r>
        <w:rPr>
          <w:rFonts w:eastAsia="Calibri"/>
          <w:b/>
          <w:bCs/>
          <w:lang w:eastAsia="en-US"/>
        </w:rPr>
        <w:t xml:space="preserve">в соответствии с отраслевыми стандартами бухгалтерского учета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37"/>
        </w:numPr>
        <w:contextualSpacing/>
        <w:ind w:left="0" w:firstLine="0"/>
        <w:jc w:val="both"/>
        <w:spacing w:line="259" w:lineRule="auto"/>
        <w:tabs>
          <w:tab w:val="num" w:pos="426" w:leader="none"/>
          <w:tab w:val="left" w:pos="81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Основные нормативные документы</w:t>
      </w:r>
      <w:r>
        <w:rPr>
          <w:rFonts w:eastAsia="Tahoma"/>
          <w:lang w:eastAsia="en-US"/>
        </w:rPr>
      </w:r>
    </w:p>
    <w:p>
      <w:pPr>
        <w:numPr>
          <w:ilvl w:val="0"/>
          <w:numId w:val="37"/>
        </w:numPr>
        <w:ind w:left="426" w:hanging="426"/>
        <w:jc w:val="both"/>
        <w:spacing w:line="259" w:lineRule="auto"/>
        <w:tabs>
          <w:tab w:val="num" w:pos="426" w:leader="none"/>
          <w:tab w:val="clear" w:pos="72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Ключевые определения и принципы учета</w:t>
      </w:r>
      <w:r>
        <w:rPr>
          <w:rFonts w:eastAsia="Calibri"/>
          <w:lang w:eastAsia="en-US"/>
        </w:rPr>
      </w:r>
    </w:p>
    <w:p>
      <w:pPr>
        <w:numPr>
          <w:ilvl w:val="0"/>
          <w:numId w:val="37"/>
        </w:numPr>
        <w:ind w:left="426" w:hanging="426"/>
        <w:jc w:val="both"/>
        <w:spacing w:line="259" w:lineRule="auto"/>
        <w:tabs>
          <w:tab w:val="num" w:pos="426" w:leader="none"/>
          <w:tab w:val="clear" w:pos="72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Эффективная ставка процента (ЭСП)</w:t>
      </w:r>
      <w:r>
        <w:rPr>
          <w:rFonts w:eastAsia="Calibri"/>
          <w:lang w:eastAsia="en-US"/>
        </w:rPr>
      </w:r>
    </w:p>
    <w:p>
      <w:pPr>
        <w:numPr>
          <w:ilvl w:val="0"/>
          <w:numId w:val="37"/>
        </w:numPr>
        <w:ind w:left="426" w:hanging="426"/>
        <w:jc w:val="both"/>
        <w:spacing w:line="259" w:lineRule="auto"/>
        <w:tabs>
          <w:tab w:val="num" w:pos="426" w:leader="none"/>
          <w:tab w:val="clear" w:pos="72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Прибыль / убыток при первоначальном признании</w:t>
      </w:r>
      <w:r>
        <w:rPr>
          <w:rFonts w:eastAsia="Calibri"/>
          <w:lang w:eastAsia="en-US"/>
        </w:rPr>
      </w:r>
    </w:p>
    <w:p>
      <w:pPr>
        <w:numPr>
          <w:ilvl w:val="0"/>
          <w:numId w:val="37"/>
        </w:numPr>
        <w:ind w:left="426" w:hanging="426"/>
        <w:jc w:val="both"/>
        <w:spacing w:line="259" w:lineRule="auto"/>
        <w:tabs>
          <w:tab w:val="num" w:pos="426" w:leader="none"/>
          <w:tab w:val="clear" w:pos="72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Амортизированная стоимость. Изменение (пересмотр) ЭСП</w:t>
      </w:r>
      <w:r>
        <w:rPr>
          <w:rFonts w:eastAsia="Calibri"/>
          <w:lang w:eastAsia="en-US"/>
        </w:rPr>
      </w:r>
    </w:p>
    <w:p>
      <w:pPr>
        <w:numPr>
          <w:ilvl w:val="0"/>
          <w:numId w:val="37"/>
        </w:numPr>
        <w:ind w:left="426" w:hanging="426"/>
        <w:jc w:val="both"/>
        <w:spacing w:line="259" w:lineRule="auto"/>
        <w:tabs>
          <w:tab w:val="num" w:pos="426" w:leader="none"/>
          <w:tab w:val="clear" w:pos="72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Освобождение от применения метода ЭСП</w:t>
      </w:r>
      <w:r>
        <w:rPr>
          <w:rFonts w:eastAsia="Calibri"/>
          <w:lang w:eastAsia="en-US"/>
        </w:rPr>
      </w:r>
    </w:p>
    <w:p>
      <w:pPr>
        <w:numPr>
          <w:ilvl w:val="0"/>
          <w:numId w:val="37"/>
        </w:numPr>
        <w:ind w:left="426" w:hanging="426"/>
        <w:jc w:val="both"/>
        <w:spacing w:line="259" w:lineRule="auto"/>
        <w:tabs>
          <w:tab w:val="num" w:pos="426" w:leader="none"/>
          <w:tab w:val="clear" w:pos="72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Обесценение финансовых активов. Резервы под обесценение размещенных средств</w:t>
      </w:r>
      <w:r>
        <w:rPr>
          <w:rFonts w:eastAsia="Calibri"/>
          <w:lang w:eastAsia="en-US"/>
        </w:rPr>
      </w:r>
    </w:p>
    <w:p>
      <w:pPr>
        <w:numPr>
          <w:ilvl w:val="0"/>
          <w:numId w:val="37"/>
        </w:numPr>
        <w:ind w:left="426" w:hanging="426"/>
        <w:jc w:val="both"/>
        <w:spacing w:line="259" w:lineRule="auto"/>
        <w:tabs>
          <w:tab w:val="num" w:pos="426" w:leader="none"/>
          <w:tab w:val="clear" w:pos="72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Полученные займы: капитализация процентов</w:t>
      </w:r>
      <w:r>
        <w:rPr>
          <w:rFonts w:eastAsia="Calibri"/>
          <w:lang w:eastAsia="en-US"/>
        </w:rPr>
      </w:r>
    </w:p>
    <w:p>
      <w:pPr>
        <w:numPr>
          <w:ilvl w:val="0"/>
          <w:numId w:val="37"/>
        </w:numPr>
        <w:ind w:left="426" w:hanging="426"/>
        <w:jc w:val="both"/>
        <w:spacing w:line="259" w:lineRule="auto"/>
        <w:tabs>
          <w:tab w:val="num" w:pos="426" w:leader="none"/>
          <w:tab w:val="clear" w:pos="72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Учетная политика и стандарты экономического субъекта</w:t>
      </w:r>
      <w:r>
        <w:rPr>
          <w:rFonts w:eastAsia="Calibri"/>
          <w:lang w:eastAsia="en-US"/>
        </w:rPr>
      </w:r>
    </w:p>
    <w:p>
      <w:pPr>
        <w:numPr>
          <w:ilvl w:val="0"/>
          <w:numId w:val="37"/>
        </w:numPr>
        <w:ind w:left="426" w:hanging="426"/>
        <w:jc w:val="both"/>
        <w:spacing w:line="259" w:lineRule="auto"/>
        <w:tabs>
          <w:tab w:val="num" w:pos="426" w:leader="none"/>
          <w:tab w:val="clear" w:pos="72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Бухгалтерский учет выданных и полученных займов</w:t>
      </w:r>
      <w:r>
        <w:rPr>
          <w:rFonts w:eastAsia="Calibri"/>
          <w:lang w:eastAsia="en-US"/>
        </w:rPr>
      </w:r>
    </w:p>
    <w:p>
      <w:pPr>
        <w:ind w:left="426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Тема 5. Бухгалтерский учет операций, связанных с осуществлением договора доверительного управления имуществом </w:t>
      </w:r>
      <w:r>
        <w:rPr>
          <w:rFonts w:eastAsia="Calibri"/>
          <w:b/>
          <w:bCs/>
          <w:iCs/>
          <w:lang w:eastAsia="en-US"/>
        </w:rPr>
        <w:t xml:space="preserve">некредитными</w:t>
      </w:r>
      <w:r>
        <w:rPr>
          <w:rFonts w:eastAsia="Calibri"/>
          <w:b/>
          <w:bCs/>
          <w:iCs/>
          <w:lang w:eastAsia="en-US"/>
        </w:rPr>
        <w:t xml:space="preserve"> финансовыми организациями в соответствии с отраслевыми стандартами бухгалтерского учета</w:t>
      </w:r>
      <w:r>
        <w:rPr>
          <w:rFonts w:eastAsia="Calibri"/>
          <w:b/>
          <w:bCs/>
          <w:i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</w:r>
      <w:r>
        <w:rPr>
          <w:rFonts w:eastAsia="Calibri"/>
          <w:b/>
          <w:bCs/>
          <w:iCs/>
          <w:lang w:eastAsia="en-US"/>
        </w:rPr>
      </w:r>
    </w:p>
    <w:p>
      <w:pPr>
        <w:numPr>
          <w:ilvl w:val="0"/>
          <w:numId w:val="41"/>
        </w:numPr>
        <w:contextualSpacing/>
        <w:ind w:left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Основные нормативные документы</w:t>
      </w:r>
      <w:r>
        <w:rPr>
          <w:rFonts w:eastAsia="Tahoma"/>
          <w:lang w:eastAsia="en-US"/>
        </w:rPr>
      </w:r>
    </w:p>
    <w:p>
      <w:pPr>
        <w:numPr>
          <w:ilvl w:val="0"/>
          <w:numId w:val="41"/>
        </w:numPr>
        <w:contextualSpacing/>
        <w:ind w:left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учет доверительным управляющим операций с имуществом, полученным в доверительное управление </w:t>
      </w:r>
      <w:r>
        <w:rPr>
          <w:rFonts w:eastAsia="Tahoma"/>
          <w:lang w:eastAsia="en-US"/>
        </w:rPr>
      </w:r>
    </w:p>
    <w:p>
      <w:pPr>
        <w:numPr>
          <w:ilvl w:val="0"/>
          <w:numId w:val="41"/>
        </w:numPr>
        <w:contextualSpacing/>
        <w:ind w:left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учет доверительным управляющим собственных операций, связанных с осуществлением договора доверительного управления имуществом </w:t>
      </w:r>
      <w:r>
        <w:rPr>
          <w:rFonts w:eastAsia="Tahoma"/>
          <w:lang w:eastAsia="en-US"/>
        </w:rPr>
      </w:r>
    </w:p>
    <w:p>
      <w:pPr>
        <w:numPr>
          <w:ilvl w:val="0"/>
          <w:numId w:val="41"/>
        </w:numPr>
        <w:contextualSpacing/>
        <w:ind w:left="360"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учет учредителем управления операций, связанных с осуществлением договора доверительного управления имуществом</w:t>
      </w:r>
      <w:r>
        <w:rPr>
          <w:rFonts w:eastAsia="Tahoma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</w:r>
      <w:r>
        <w:rPr>
          <w:rFonts w:eastAsia="Calibri"/>
          <w:b/>
          <w:bCs/>
          <w:i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Тема 6. </w:t>
      </w:r>
      <w:r>
        <w:rPr>
          <w:rFonts w:eastAsia="Calibri"/>
          <w:b/>
          <w:bCs/>
          <w:lang w:eastAsia="en-US"/>
        </w:rPr>
        <w:t xml:space="preserve">Порядок учета общехозяйственных операций и прочих операций </w:t>
      </w:r>
      <w:r>
        <w:rPr>
          <w:rFonts w:eastAsia="Calibri"/>
          <w:b/>
          <w:bCs/>
          <w:lang w:eastAsia="en-US"/>
        </w:rPr>
        <w:t xml:space="preserve">некредитных</w:t>
      </w:r>
      <w:r>
        <w:rPr>
          <w:rFonts w:eastAsia="Calibri"/>
          <w:b/>
          <w:bCs/>
          <w:lang w:eastAsia="en-US"/>
        </w:rPr>
        <w:t xml:space="preserve"> финансовых организациях в соответствии с общими отраслевыми стандартами бухгалтерского учета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Основные нормативные документы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учет основных средств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учет нематериальных активов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учет инвестиционного имущества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учет долгосрочных активов, предназначенных для продажи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tabs>
          <w:tab w:val="left" w:pos="36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договоров аренды 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учет запасов, средств труда и предметов труда, полученных в результате прекращения обязательств должников по договорам отступного, залога, назначение которых не определено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Банка России от 04.09.2015 N 489-П "Отраслевой стандарт бухгалтерского учета вознаграждений работникам </w:t>
      </w:r>
      <w:r>
        <w:rPr>
          <w:rFonts w:eastAsia="Tahoma"/>
          <w:lang w:eastAsia="en-US"/>
        </w:rPr>
        <w:t xml:space="preserve">некредитными</w:t>
      </w:r>
      <w:r>
        <w:rPr>
          <w:rFonts w:eastAsia="Tahoma"/>
          <w:lang w:eastAsia="en-US"/>
        </w:rPr>
        <w:t xml:space="preserve"> финансовыми организациями" 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Банка России от 03.12.2015 N 508-П "Отраслевой стандарт бухгалтерского учета резервов - оценочных обязательств и условных обязательств </w:t>
      </w:r>
      <w:r>
        <w:rPr>
          <w:rFonts w:eastAsia="Tahoma"/>
          <w:lang w:eastAsia="en-US"/>
        </w:rPr>
        <w:t xml:space="preserve">некредитными</w:t>
      </w:r>
      <w:r>
        <w:rPr>
          <w:rFonts w:eastAsia="Tahoma"/>
          <w:lang w:eastAsia="en-US"/>
        </w:rPr>
        <w:t xml:space="preserve"> финансовыми организациями". 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Банка России от 04.09.2015 N 490-П "Отраслевой стандарт бухгалтерского учета отложенных налоговых обязательств и отложенных налоговых активов </w:t>
      </w:r>
      <w:r>
        <w:rPr>
          <w:rFonts w:eastAsia="Tahoma"/>
          <w:lang w:eastAsia="en-US"/>
        </w:rPr>
        <w:t xml:space="preserve">некредитными</w:t>
      </w:r>
      <w:r>
        <w:rPr>
          <w:rFonts w:eastAsia="Tahoma"/>
          <w:lang w:eastAsia="en-US"/>
        </w:rPr>
        <w:t xml:space="preserve"> финансовыми организациями"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событий после окончания отчетного года, </w:t>
      </w:r>
      <w:r>
        <w:rPr>
          <w:rFonts w:eastAsia="Tahoma"/>
          <w:lang w:eastAsia="en-US"/>
        </w:rPr>
      </w:r>
    </w:p>
    <w:p>
      <w:pPr>
        <w:numPr>
          <w:ilvl w:val="0"/>
          <w:numId w:val="6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Положение Банка России от 28.12.2015 N 523-П "Отраслевой стандарт бухгалтерского учета «Порядок исправления ошибок в бухгалтерском учете и бухгалтерской (финансовой) отчетности </w:t>
      </w:r>
      <w:r>
        <w:rPr>
          <w:rFonts w:eastAsia="Tahoma"/>
          <w:lang w:eastAsia="en-US"/>
        </w:rPr>
        <w:t xml:space="preserve">некредитными</w:t>
      </w:r>
      <w:r>
        <w:rPr>
          <w:rFonts w:eastAsia="Tahoma"/>
          <w:lang w:eastAsia="en-US"/>
        </w:rPr>
        <w:t xml:space="preserve"> финансовыми организациями» 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after="160" w:line="259" w:lineRule="auto"/>
        <w:tabs>
          <w:tab w:val="left" w:pos="36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Тема 7. Отраслевой стандарт бухгалтерского учета «Порядок составления бухгалтерской (фина</w:t>
      </w:r>
      <w:r>
        <w:rPr>
          <w:rFonts w:eastAsia="Calibri"/>
          <w:b/>
          <w:bCs/>
          <w:iCs/>
          <w:lang w:eastAsia="en-US"/>
        </w:rPr>
        <w:t xml:space="preserve">нсовой) отчетности профессиональных участников рынка ценных бумаг, акционерных инвестиционных фондов, организаторов торговли, центральных контрагентов, клиринговых организаций, специализированных депозитариев инвестиционного фонда, паевого инвестиционного </w:t>
      </w:r>
      <w:r>
        <w:rPr>
          <w:rFonts w:eastAsia="Calibri"/>
          <w:b/>
          <w:bCs/>
          <w:iCs/>
          <w:lang w:eastAsia="en-US"/>
        </w:rPr>
        <w:t xml:space="preserve">фонда и негосударственного пенсионного фонда, управляющих компаний инвестиционного фонда, паевого инвестиционного фонда и негосударственного пенсионного фонда, бюро кредитных историй, кредитных рейтинговых агентств, страховых брокеров» №532-П от 03.02.2016</w:t>
      </w:r>
      <w:r>
        <w:rPr>
          <w:rFonts w:eastAsia="Calibri"/>
          <w:b/>
          <w:bCs/>
          <w:iCs/>
          <w:lang w:eastAsia="en-US"/>
        </w:rPr>
      </w:r>
    </w:p>
    <w:p>
      <w:pPr>
        <w:jc w:val="both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</w:r>
      <w:r>
        <w:rPr>
          <w:rFonts w:eastAsia="Calibri"/>
          <w:b/>
          <w:bCs/>
          <w:iCs/>
          <w:lang w:eastAsia="en-US"/>
        </w:rPr>
      </w:r>
    </w:p>
    <w:p>
      <w:pPr>
        <w:numPr>
          <w:ilvl w:val="0"/>
          <w:numId w:val="42"/>
        </w:numPr>
        <w:contextualSpacing/>
        <w:ind w:left="360"/>
        <w:jc w:val="both"/>
        <w:tabs>
          <w:tab w:val="left" w:pos="63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Особенности составления бухгалтерской финансовой отчетности (БФО)</w:t>
      </w:r>
      <w:r>
        <w:rPr>
          <w:rFonts w:eastAsia="Tahoma"/>
          <w:lang w:eastAsia="en-US"/>
        </w:rPr>
      </w:r>
    </w:p>
    <w:p>
      <w:pPr>
        <w:numPr>
          <w:ilvl w:val="0"/>
          <w:numId w:val="42"/>
        </w:numPr>
        <w:contextualSpacing/>
        <w:ind w:left="360"/>
        <w:jc w:val="both"/>
        <w:spacing w:after="160"/>
        <w:tabs>
          <w:tab w:val="left" w:pos="63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Порядок составления БФО</w:t>
      </w:r>
      <w:r>
        <w:rPr>
          <w:rFonts w:eastAsia="Tahoma"/>
          <w:lang w:eastAsia="en-US"/>
        </w:rPr>
      </w:r>
    </w:p>
    <w:p>
      <w:pPr>
        <w:numPr>
          <w:ilvl w:val="0"/>
          <w:numId w:val="42"/>
        </w:numPr>
        <w:ind w:left="360"/>
        <w:jc w:val="both"/>
        <w:tabs>
          <w:tab w:val="left" w:pos="63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Требования к представлению БФО</w:t>
      </w:r>
      <w:r>
        <w:rPr>
          <w:rFonts w:eastAsia="Calibri"/>
          <w:lang w:eastAsia="en-US"/>
        </w:rPr>
      </w:r>
    </w:p>
    <w:p>
      <w:pPr>
        <w:numPr>
          <w:ilvl w:val="0"/>
          <w:numId w:val="42"/>
        </w:numPr>
        <w:ind w:left="360"/>
        <w:jc w:val="both"/>
        <w:tabs>
          <w:tab w:val="left" w:pos="630" w:leader="none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Состав обязательных форм отчетности и раскрытий к отчетности</w:t>
      </w:r>
      <w:r>
        <w:rPr>
          <w:rFonts w:eastAsia="Calibri"/>
          <w:lang w:eastAsia="en-US"/>
        </w:rPr>
      </w:r>
    </w:p>
    <w:p>
      <w:pPr>
        <w:numPr>
          <w:ilvl w:val="0"/>
          <w:numId w:val="42"/>
        </w:numPr>
        <w:contextualSpacing/>
        <w:ind w:left="360"/>
        <w:jc w:val="both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Бухгалтерский баланс </w:t>
      </w:r>
      <w:r>
        <w:rPr>
          <w:rFonts w:eastAsia="Tahoma"/>
          <w:lang w:eastAsia="en-US"/>
        </w:rPr>
        <w:t xml:space="preserve">некредитной</w:t>
      </w:r>
      <w:r>
        <w:rPr>
          <w:rFonts w:eastAsia="Tahoma"/>
          <w:lang w:eastAsia="en-US"/>
        </w:rPr>
        <w:t xml:space="preserve"> финансовой организации</w:t>
      </w:r>
      <w:r>
        <w:rPr>
          <w:rFonts w:eastAsia="Tahoma"/>
          <w:lang w:eastAsia="en-US"/>
        </w:rPr>
      </w:r>
    </w:p>
    <w:p>
      <w:pPr>
        <w:numPr>
          <w:ilvl w:val="0"/>
          <w:numId w:val="42"/>
        </w:numPr>
        <w:contextualSpacing/>
        <w:ind w:left="360"/>
        <w:jc w:val="both"/>
        <w:spacing w:after="160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Отчет о финансовых результатах </w:t>
      </w:r>
      <w:r>
        <w:rPr>
          <w:rFonts w:eastAsia="Tahoma"/>
          <w:lang w:eastAsia="en-US"/>
        </w:rPr>
        <w:t xml:space="preserve">некредитной</w:t>
      </w:r>
      <w:r>
        <w:rPr>
          <w:rFonts w:eastAsia="Tahoma"/>
          <w:lang w:eastAsia="en-US"/>
        </w:rPr>
        <w:t xml:space="preserve"> финансовой организации</w:t>
      </w:r>
      <w:r>
        <w:rPr>
          <w:rFonts w:eastAsia="Tahoma"/>
          <w:lang w:eastAsia="en-US"/>
        </w:rPr>
      </w:r>
    </w:p>
    <w:p>
      <w:pPr>
        <w:numPr>
          <w:ilvl w:val="0"/>
          <w:numId w:val="42"/>
        </w:numPr>
        <w:contextualSpacing/>
        <w:ind w:left="360"/>
        <w:jc w:val="both"/>
        <w:spacing w:after="160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Отчет об изменениях собственного капитала </w:t>
      </w:r>
      <w:r>
        <w:rPr>
          <w:rFonts w:eastAsia="Tahoma"/>
          <w:lang w:eastAsia="en-US"/>
        </w:rPr>
        <w:t xml:space="preserve">некредитной</w:t>
      </w:r>
      <w:r>
        <w:rPr>
          <w:rFonts w:eastAsia="Tahoma"/>
          <w:lang w:eastAsia="en-US"/>
        </w:rPr>
        <w:t xml:space="preserve"> финансовой организации</w:t>
      </w:r>
      <w:r>
        <w:rPr>
          <w:rFonts w:eastAsia="Tahoma"/>
          <w:lang w:eastAsia="en-US"/>
        </w:rPr>
      </w:r>
    </w:p>
    <w:p>
      <w:pPr>
        <w:numPr>
          <w:ilvl w:val="0"/>
          <w:numId w:val="42"/>
        </w:numPr>
        <w:contextualSpacing/>
        <w:ind w:left="360"/>
        <w:jc w:val="both"/>
        <w:spacing w:after="160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Отчет о потоках денежных средств </w:t>
      </w:r>
      <w:r>
        <w:rPr>
          <w:rFonts w:eastAsia="Tahoma"/>
          <w:lang w:eastAsia="en-US"/>
        </w:rPr>
        <w:t xml:space="preserve">некредитной</w:t>
      </w:r>
      <w:r>
        <w:rPr>
          <w:rFonts w:eastAsia="Tahoma"/>
          <w:lang w:eastAsia="en-US"/>
        </w:rPr>
        <w:t xml:space="preserve"> финансовой организации</w:t>
      </w:r>
      <w:r>
        <w:rPr>
          <w:rFonts w:eastAsia="Tahoma"/>
          <w:lang w:eastAsia="en-US"/>
        </w:rPr>
      </w:r>
    </w:p>
    <w:p>
      <w:pPr>
        <w:numPr>
          <w:ilvl w:val="0"/>
          <w:numId w:val="42"/>
        </w:numPr>
        <w:contextualSpacing/>
        <w:ind w:left="360"/>
        <w:jc w:val="both"/>
        <w:spacing w:after="160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Примечания в составе БФО </w:t>
      </w:r>
      <w:r>
        <w:rPr>
          <w:rFonts w:eastAsia="Tahoma"/>
          <w:lang w:eastAsia="en-US"/>
        </w:rPr>
        <w:t xml:space="preserve">некредитной</w:t>
      </w:r>
      <w:r>
        <w:rPr>
          <w:rFonts w:eastAsia="Tahoma"/>
          <w:lang w:eastAsia="en-US"/>
        </w:rPr>
        <w:t xml:space="preserve"> финансовой организации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after="160" w:line="259" w:lineRule="auto"/>
        <w:tabs>
          <w:tab w:val="left" w:pos="360" w:leader="none"/>
        </w:tabs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</w:pPr>
      <w:r>
        <w:rPr>
          <w:rFonts w:eastAsia="Calibri"/>
          <w:lang w:eastAsia="en-US"/>
        </w:rPr>
        <w:t xml:space="preserve">Глубокое понимание отраслевых стандартов бухгалтерского учета и правил составления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необходимое для проведения аудита.</w:t>
      </w:r>
      <w:r/>
    </w:p>
    <w:p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</w:r>
      <w:r>
        <w:rPr>
          <w:rFonts w:eastAsiaTheme="minorHAnsi"/>
          <w:b/>
          <w:lang w:eastAsia="en-US"/>
        </w:rPr>
      </w:r>
    </w:p>
    <w:p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</w:r>
      <w:r>
        <w:rPr>
          <w:rFonts w:eastAsiaTheme="minorHAnsi"/>
          <w:b/>
          <w:lang w:eastAsia="en-US"/>
        </w:rPr>
      </w:r>
    </w:p>
    <w:p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6-6-06 «НЕКРЕДИТНЫЕ ФИНАНСОВЫЕ ОРГАНИЗАЦИИ: ОРГАНИЗАЦИЯ ДЕЯТЕЛЬНОСТИ, ОСОБЕННОСТИ БУХГАЛТЕРСКОГО УЧЕТА, НАЛОГООБЛОЖЕНИЯ И АУДИТА»</w:t>
      </w:r>
      <w:r>
        <w:rPr>
          <w:rFonts w:eastAsiaTheme="minorHAnsi"/>
          <w:b/>
          <w:lang w:eastAsia="en-US"/>
        </w:rPr>
      </w:r>
    </w:p>
    <w:p>
      <w:pPr>
        <w:jc w:val="both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jc w:val="both"/>
      </w:pPr>
      <w:r>
        <w:rPr>
          <w:b/>
        </w:rPr>
        <w:t xml:space="preserve">Продолжительность обучения</w:t>
      </w:r>
      <w:r>
        <w:t xml:space="preserve"> – 40 академических часов. </w:t>
      </w:r>
      <w:r/>
    </w:p>
    <w:p>
      <w:pPr>
        <w:jc w:val="both"/>
      </w:pPr>
      <w:r/>
      <w:r/>
    </w:p>
    <w:p>
      <w:pPr>
        <w:jc w:val="both"/>
      </w:pPr>
      <w:r>
        <w:rPr>
          <w:b/>
        </w:rPr>
        <w:t xml:space="preserve">Цель программы</w:t>
      </w:r>
      <w:r>
        <w:t xml:space="preserve"> - углубление знаний аудиторов и руководителей аудита общественно значимых организаций, желающих специализироваться на аудите </w:t>
      </w:r>
      <w:r>
        <w:t xml:space="preserve">некредитных</w:t>
      </w:r>
      <w:r>
        <w:t xml:space="preserve"> финансовых организаций в соответствии с требованиями Банка России, в части законодательства, особенностей деятельности </w:t>
      </w:r>
      <w:r>
        <w:t xml:space="preserve">некредитных</w:t>
      </w:r>
      <w:r>
        <w:t xml:space="preserve"> финансовых организаций, организации </w:t>
      </w:r>
      <w:r>
        <w:t xml:space="preserve">бухгалтерского учета, налогообложения, проведения аудита </w:t>
      </w:r>
      <w:r>
        <w:t xml:space="preserve">некредитных</w:t>
      </w:r>
      <w:r>
        <w:t xml:space="preserve"> финансовых организаций. 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1. Регулирование, контроль и надзор - Центральный Банк Российской Федерации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1. Полномочия Банка России по регулированию, контролю и надзору в сфере финансовых рынков. Регулирующие, контрольные и надзорные функции Банка России в сфере финансовых рынков.</w:t>
      </w:r>
      <w:r/>
    </w:p>
    <w:p>
      <w:pPr>
        <w:jc w:val="both"/>
      </w:pPr>
      <w:r>
        <w:t xml:space="preserve">2. Нормативы и иные требован</w:t>
      </w:r>
      <w:r>
        <w:t xml:space="preserve">ия Банка России: требования к собственным средствам (капиталу) или чистым активам, обязательные (финансовые, экономические) нормативы, а также иные требования в соответствии с федеральными законами, регулирующими деятельность соответствующих организаций.  </w:t>
      </w:r>
      <w:r/>
    </w:p>
    <w:p>
      <w:pPr>
        <w:jc w:val="both"/>
      </w:pPr>
      <w:r>
        <w:t xml:space="preserve">3. Требования, предъявляемые нормативными актами Банка России к правилам внутреннего контроля в </w:t>
      </w:r>
      <w:r>
        <w:t xml:space="preserve">некредитных</w:t>
      </w:r>
      <w:r>
        <w:t xml:space="preserve"> финансовых организациях. Проверки Банком России деятельности </w:t>
      </w:r>
      <w:r>
        <w:t xml:space="preserve">некредитных</w:t>
      </w:r>
      <w:r>
        <w:t xml:space="preserve"> финансовых организаций, направление </w:t>
      </w:r>
      <w:r>
        <w:t xml:space="preserve">некредитным</w:t>
      </w:r>
      <w:r>
        <w:t xml:space="preserve"> финансовым организациям обязательных для исполнения предписаний. Требования к обеспечению защиты информации при осуществлении деятельности в сфере финансовых рынков.</w:t>
      </w:r>
      <w:r/>
    </w:p>
    <w:p>
      <w:pPr>
        <w:jc w:val="both"/>
      </w:pPr>
      <w:r>
        <w:t xml:space="preserve">5. Виды деятельности НФО. Саморегулируемые организации </w:t>
      </w:r>
      <w:r>
        <w:t xml:space="preserve">некредитных</w:t>
      </w:r>
      <w:r>
        <w:t xml:space="preserve"> финансовых организаций.</w:t>
      </w:r>
      <w:r/>
    </w:p>
    <w:p>
      <w:pPr>
        <w:jc w:val="both"/>
      </w:pPr>
      <w:r>
        <w:t xml:space="preserve">6. Концептуальные подходы к системе управления рисками (СУР) в НФО. Пример (примеры) реализации СУР в отдельных типах НФО.</w:t>
      </w:r>
      <w:r/>
    </w:p>
    <w:p>
      <w:pPr>
        <w:jc w:val="both"/>
      </w:pPr>
      <w:r>
        <w:t xml:space="preserve">7. Регулирование и надзор в сфере ПОД/ФТ/ФРОМУ в НФО.</w:t>
      </w:r>
      <w:r/>
    </w:p>
    <w:p>
      <w:pPr>
        <w:jc w:val="both"/>
      </w:pPr>
      <w:r>
        <w:t xml:space="preserve">8. Сроки и порядок составления и представления отчетности, а также другой информации, предусмотренной федеральными законами, установленные Банком России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2. Правила ведения бухгалтерского учета в </w:t>
      </w:r>
      <w:r>
        <w:rPr>
          <w:b/>
        </w:rPr>
        <w:t xml:space="preserve">некредитных</w:t>
      </w:r>
      <w:r>
        <w:rPr>
          <w:b/>
        </w:rPr>
        <w:t xml:space="preserve"> финансовых организациях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rFonts w:eastAsia="Tahoma"/>
          <w:shd w:val="clear" w:color="auto" w:fill="ffffff"/>
        </w:rPr>
      </w:pPr>
      <w:r>
        <w:t xml:space="preserve">1. Система отраслевых стандартов учета в </w:t>
      </w:r>
      <w:r>
        <w:t xml:space="preserve">некредитных</w:t>
      </w:r>
      <w:r>
        <w:t xml:space="preserve"> финансовых организациях. Их место в системе бухгалтерского учета Российской Федерации. Сближение с МСФО</w:t>
      </w:r>
      <w:r>
        <w:rPr>
          <w:rFonts w:eastAsia="Tahoma"/>
          <w:shd w:val="clear" w:color="auto" w:fill="ffffff"/>
        </w:rPr>
        <w:t xml:space="preserve">.</w:t>
      </w:r>
      <w:r>
        <w:rPr>
          <w:rFonts w:eastAsia="Tahoma"/>
          <w:shd w:val="clear" w:color="auto" w:fill="ffffff"/>
        </w:rPr>
      </w:r>
    </w:p>
    <w:p>
      <w:pPr>
        <w:jc w:val="both"/>
      </w:pPr>
      <w:r>
        <w:t xml:space="preserve">2. Основные принципы бухгалтерского учета в </w:t>
      </w:r>
      <w:r>
        <w:t xml:space="preserve">некредитных</w:t>
      </w:r>
      <w:r>
        <w:t xml:space="preserve"> финансовых организациях. </w:t>
      </w:r>
      <w:r/>
    </w:p>
    <w:p>
      <w:pPr>
        <w:jc w:val="both"/>
      </w:pPr>
      <w:r>
        <w:t xml:space="preserve">3. План счетов бухгалтерского учета в </w:t>
      </w:r>
      <w:r>
        <w:t xml:space="preserve">некредитных</w:t>
      </w:r>
      <w:r>
        <w:t xml:space="preserve"> финансовых организациях: его структура, виды счетов, краткая характеристика счетов. </w:t>
      </w:r>
      <w:r/>
    </w:p>
    <w:p>
      <w:pPr>
        <w:jc w:val="both"/>
      </w:pPr>
      <w:r>
        <w:t xml:space="preserve">4. Порядок отражения на счетах бухгалтерского учета объектов бухгалтерского учета </w:t>
      </w:r>
      <w:r>
        <w:t xml:space="preserve">некредитными</w:t>
      </w:r>
      <w:r>
        <w:t xml:space="preserve"> финансовыми организациями.</w:t>
      </w:r>
      <w:r/>
    </w:p>
    <w:p>
      <w:pPr>
        <w:jc w:val="both"/>
      </w:pPr>
      <w:r>
        <w:t xml:space="preserve">5. Правила учета отложенных налогов в </w:t>
      </w:r>
      <w:r>
        <w:t xml:space="preserve">некредитных</w:t>
      </w:r>
      <w:r>
        <w:t xml:space="preserve"> финансовых организациях. </w:t>
      </w:r>
      <w:r>
        <w:rPr>
          <w:rFonts w:eastAsia="Tahoma"/>
        </w:rPr>
        <w:t xml:space="preserve">Особенности ведения налогового учета доходов и расходов. </w:t>
      </w:r>
      <w:r>
        <w:t xml:space="preserve">Порядок признания отложенных налоговых обязательств и отложенных налоговых активов, в том числе в связи с переоценкой основного средства, в связи с переоценкой долевых и долговых ценных бумаг и в связи с формированием резерва под обесценение.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  <w:bCs/>
        </w:rPr>
        <w:t xml:space="preserve">Тема </w:t>
      </w:r>
      <w:r>
        <w:rPr>
          <w:b/>
        </w:rPr>
        <w:t xml:space="preserve">3</w:t>
      </w:r>
      <w:r>
        <w:rPr>
          <w:b/>
          <w:bCs/>
        </w:rPr>
        <w:t xml:space="preserve">. Бухгалтерская и финансовая отчетность </w:t>
      </w:r>
      <w:r>
        <w:rPr>
          <w:b/>
        </w:rPr>
        <w:t xml:space="preserve">некредитных</w:t>
      </w:r>
      <w:r>
        <w:rPr>
          <w:b/>
        </w:rPr>
        <w:t xml:space="preserve"> финансовых организаций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1. Формы, состав, периодичность, требования по опубликованию и адреса предоставления бухгалтерской (финансовой) отчетности;</w:t>
      </w:r>
      <w:r/>
    </w:p>
    <w:p>
      <w:pPr>
        <w:jc w:val="both"/>
      </w:pPr>
      <w:r>
        <w:t xml:space="preserve">2. Отчетность, направляемая </w:t>
      </w:r>
      <w:r>
        <w:t xml:space="preserve">некредитными</w:t>
      </w:r>
      <w:r>
        <w:t xml:space="preserve"> финансовыми организациями в Банк России в порядке надзора;</w:t>
      </w:r>
      <w:r/>
    </w:p>
    <w:p>
      <w:pPr>
        <w:jc w:val="both"/>
      </w:pPr>
      <w:r>
        <w:t xml:space="preserve">3. Принципы и порядок составления консолидированной финансовой отчетности </w:t>
      </w:r>
      <w:r>
        <w:t xml:space="preserve">некредитными</w:t>
      </w:r>
      <w:r>
        <w:t xml:space="preserve"> финансовыми организациями. 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4. </w:t>
      </w:r>
      <w:r>
        <w:rPr>
          <w:b/>
          <w:bCs/>
        </w:rPr>
        <w:t xml:space="preserve">Аудит бухгалтерской (финансовой) отчетности </w:t>
      </w:r>
      <w:r>
        <w:rPr>
          <w:b/>
        </w:rPr>
        <w:t xml:space="preserve">некредитных</w:t>
      </w:r>
      <w:r>
        <w:rPr>
          <w:b/>
        </w:rPr>
        <w:t xml:space="preserve"> финансовых </w:t>
      </w:r>
      <w:r>
        <w:rPr>
          <w:b/>
          <w:bCs/>
        </w:rPr>
        <w:t xml:space="preserve">организаций</w:t>
      </w:r>
      <w:r>
        <w:rPr>
          <w:b/>
        </w:rPr>
        <w:t xml:space="preserve"> в соответствии с Международными стандартами аудита</w:t>
      </w:r>
      <w:r>
        <w:rPr>
          <w:b/>
        </w:rPr>
      </w:r>
    </w:p>
    <w:p>
      <w:pPr>
        <w:jc w:val="both"/>
        <w:rPr>
          <w:rFonts w:eastAsia="Tahoma"/>
        </w:rPr>
      </w:pPr>
      <w:r>
        <w:rPr>
          <w:rFonts w:eastAsia="Tahoma"/>
        </w:rPr>
        <w:t xml:space="preserve">1. Требования к аудиторской организации для проведения обязательного аудита бухгалтерской (финансовой) отчетности </w:t>
      </w:r>
      <w:r>
        <w:t xml:space="preserve">некредитных</w:t>
      </w:r>
      <w:r>
        <w:t xml:space="preserve"> финансовых организаций</w:t>
      </w:r>
      <w:r>
        <w:rPr>
          <w:rFonts w:eastAsia="Tahoma"/>
        </w:rPr>
        <w:t xml:space="preserve">.</w:t>
      </w:r>
      <w:r>
        <w:rPr>
          <w:highlight w:val="cyan"/>
        </w:rPr>
        <w:t xml:space="preserve"> </w:t>
      </w:r>
      <w:r>
        <w:t xml:space="preserve">Доп</w:t>
      </w:r>
      <w:r>
        <w:t xml:space="preserve">олнительные требования 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законами.</w:t>
      </w:r>
      <w:r>
        <w:rPr>
          <w:rFonts w:eastAsia="Tahoma"/>
        </w:rPr>
      </w:r>
    </w:p>
    <w:p>
      <w:pPr>
        <w:jc w:val="both"/>
      </w:pPr>
      <w:r>
        <w:t xml:space="preserve">2. Право Банка России на обжалование аудиторского заключения. Решение Банка России о признании аудиторского заключения ненадлежащим в обстоятельствах согласно стандартам аудиторской деятельности.</w:t>
      </w:r>
      <w:r/>
    </w:p>
    <w:p>
      <w:pPr>
        <w:jc w:val="both"/>
        <w:rPr>
          <w:rFonts w:eastAsia="Tahoma"/>
        </w:rPr>
      </w:pPr>
      <w:r>
        <w:rPr>
          <w:rFonts w:eastAsia="Tahoma"/>
        </w:rPr>
        <w:t xml:space="preserve">3. Порядок заключения договора на проведения обязательного аудита бухгалтерской (финансовой) отчетности </w:t>
      </w:r>
      <w:r>
        <w:t xml:space="preserve">некредитных</w:t>
      </w:r>
      <w:r>
        <w:t xml:space="preserve"> финансовых организаций</w:t>
      </w:r>
      <w:r>
        <w:rPr>
          <w:rFonts w:eastAsia="Tahoma"/>
        </w:rPr>
        <w:t xml:space="preserve">;</w:t>
      </w:r>
      <w:r>
        <w:rPr>
          <w:rFonts w:eastAsia="Tahoma"/>
        </w:rPr>
      </w:r>
    </w:p>
    <w:p>
      <w:pPr>
        <w:jc w:val="both"/>
        <w:rPr>
          <w:rFonts w:eastAsia="Tahoma"/>
        </w:rPr>
      </w:pPr>
      <w:r>
        <w:rPr>
          <w:rFonts w:eastAsia="Tahoma"/>
        </w:rPr>
        <w:t xml:space="preserve">4. Процедуры проверки предписаний Банка России;</w:t>
      </w:r>
      <w:r>
        <w:rPr>
          <w:rFonts w:eastAsia="Tahoma"/>
        </w:rPr>
      </w:r>
    </w:p>
    <w:p>
      <w:pPr>
        <w:jc w:val="both"/>
        <w:rPr>
          <w:rFonts w:eastAsia="Tahoma"/>
        </w:rPr>
      </w:pPr>
      <w:r>
        <w:t xml:space="preserve">5. Особенности аудита </w:t>
      </w:r>
      <w:r>
        <w:rPr>
          <w:rFonts w:eastAsia="Tahoma"/>
        </w:rPr>
        <w:t xml:space="preserve">бухгалтерской (финансовой) отчетности </w:t>
      </w:r>
      <w:r>
        <w:t xml:space="preserve">некредитных</w:t>
      </w:r>
      <w:r>
        <w:t xml:space="preserve"> финансовых организаций как общественно значимых организаций. </w:t>
      </w:r>
      <w:r>
        <w:rPr>
          <w:rFonts w:eastAsia="Tahoma"/>
        </w:rPr>
        <w:t xml:space="preserve">Группы</w:t>
      </w:r>
      <w:r>
        <w:t xml:space="preserve"> пользователей финансовой отчетности и их интересы;</w:t>
      </w:r>
      <w:r>
        <w:rPr>
          <w:rFonts w:eastAsia="Tahoma"/>
        </w:rPr>
      </w:r>
    </w:p>
    <w:p>
      <w:pPr>
        <w:jc w:val="both"/>
        <w:rPr>
          <w:rFonts w:eastAsia="Tahoma"/>
        </w:rPr>
      </w:pPr>
      <w:r>
        <w:t xml:space="preserve">6. Понимание деятельности аудируемого лица. Отраслевые, правовые и другие внешние факторы, влияющие на деятельность </w:t>
      </w:r>
      <w:r>
        <w:t xml:space="preserve">некредитных</w:t>
      </w:r>
      <w:r>
        <w:t xml:space="preserve"> финансовых организаций, и связанные с ними риски;</w:t>
      </w:r>
      <w:r>
        <w:rPr>
          <w:rFonts w:eastAsia="Tahoma"/>
        </w:rPr>
      </w:r>
    </w:p>
    <w:p>
      <w:pPr>
        <w:jc w:val="both"/>
      </w:pPr>
      <w:r>
        <w:t xml:space="preserve">7. Особенности организации внутреннего аудита в </w:t>
      </w:r>
      <w:r>
        <w:t xml:space="preserve">некредитных</w:t>
      </w:r>
      <w:r>
        <w:t xml:space="preserve"> финансовых организациях и рассмотрение результатов его работы в </w:t>
      </w:r>
      <w:r>
        <w:rPr>
          <w:rFonts w:eastAsia="Tahoma"/>
        </w:rPr>
        <w:t xml:space="preserve">аудите</w:t>
      </w:r>
      <w:r>
        <w:t xml:space="preserve">.</w:t>
      </w:r>
      <w:r/>
    </w:p>
    <w:p>
      <w:pPr>
        <w:jc w:val="both"/>
      </w:pPr>
      <w:r>
        <w:t xml:space="preserve">8. Типовые вопросы и нарушения при составлении аудиторских заключений </w:t>
      </w:r>
      <w:r>
        <w:t xml:space="preserve">некредитных</w:t>
      </w:r>
      <w:r>
        <w:t xml:space="preserve"> организаций.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5. Особенности проведения аудита </w:t>
      </w:r>
      <w:r>
        <w:rPr>
          <w:b/>
        </w:rPr>
        <w:t xml:space="preserve">некредитной</w:t>
      </w:r>
      <w:r>
        <w:rPr>
          <w:b/>
        </w:rPr>
        <w:t xml:space="preserve"> финансовой организации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1. Соответствие записей по отражению на счетах бухгалтерского учета операций с ценными бумаги требованиям </w:t>
      </w:r>
      <w:hyperlink r:id="rId73" w:tooltip="https://login.consultant.ru/link/?req=doc&amp;demo=2&amp;base=LAW&amp;n=365734&amp;date=26.06.2022" w:history="1">
        <w:r>
          <w:t xml:space="preserve">Положения</w:t>
        </w:r>
      </w:hyperlink>
      <w:r>
        <w:t xml:space="preserve"> Банка России от 1 октября 2015 г. N 494-П "Отраслевой стандарт бухгалтерского учета операций с ценными бумагами в </w:t>
      </w:r>
      <w:r>
        <w:t xml:space="preserve">некредитных</w:t>
      </w:r>
      <w:r>
        <w:t xml:space="preserve"> финансовых организациях", а также корректность включения информации об операциях с ценными бумагами в бухгалтерскую отчетность. </w:t>
      </w:r>
      <w:r/>
    </w:p>
    <w:p>
      <w:pPr>
        <w:jc w:val="both"/>
      </w:pPr>
      <w:r>
        <w:t xml:space="preserve">2. Корректность и полноту представ</w:t>
      </w:r>
      <w:r>
        <w:t xml:space="preserve">ления в бухгалтерской отчетности информации об инвестициях в ассоциированные предприятия, а также соответствие раскрытой информации о вложениях в ассоциированные предприятия в бухгалтерской отчетности информации, отраженной на счетах бухгалтерского учета. </w:t>
      </w:r>
      <w:r/>
    </w:p>
    <w:p>
      <w:pPr>
        <w:jc w:val="both"/>
      </w:pPr>
      <w:r>
        <w:t xml:space="preserve">3. Подход к определению критерия существенности при признании разницы меж</w:t>
      </w:r>
      <w:r>
        <w:t xml:space="preserve">ду амортизированной стоимостью финансового актива, рассчитанной с применением линейного метода признания процентного дохода, и амортизированной стоимостью финансового актива, рассчитанной с применением метода эффективной процентной ставки, несущественной. </w:t>
      </w:r>
      <w:r/>
    </w:p>
    <w:p>
      <w:pPr>
        <w:jc w:val="both"/>
      </w:pPr>
      <w:r>
        <w:t xml:space="preserve">4. Соответствие применяемой методики определения убытка от обесценения вложений в акции дочерних и ассоциированных акционерных обществ, оцениваемых в соответствии с </w:t>
      </w:r>
      <w:hyperlink r:id="rId74" w:tooltip="https://login.consultant.ru/link/?req=doc&amp;demo=2&amp;base=LAW&amp;n=202325&amp;dst=100091&amp;field=134&amp;date=26.06.2022" w:history="1">
        <w:r>
          <w:t xml:space="preserve">пунктом 10</w:t>
        </w:r>
      </w:hyperlink>
      <w:r>
        <w:t xml:space="preserve"> МСФО (IAS) 27 "Отдельная финансовая отчетность" по первоначальной стоимости, требованиям </w:t>
      </w:r>
      <w:hyperlink r:id="rId75" w:tooltip="https://login.consultant.ru/link/?req=doc&amp;demo=2&amp;base=LAW&amp;n=374630&amp;date=26.06.2022" w:history="1">
        <w:r>
          <w:t xml:space="preserve">МСФО (IAS) 36</w:t>
        </w:r>
      </w:hyperlink>
      <w:r>
        <w:t xml:space="preserve"> "Обесценение активов".   </w:t>
      </w:r>
      <w:r/>
    </w:p>
    <w:p>
      <w:pPr>
        <w:jc w:val="both"/>
      </w:pPr>
      <w:r>
        <w:t xml:space="preserve">5. Методика проведения SPPI-тестов (оценка условий выпуска </w:t>
      </w:r>
      <w:r>
        <w:t xml:space="preserve">ценных бумаг, обусловливающих получение в указанные даты денежных потоков, являющихся исключительно платежами в счет основной суммы долга и процентов на непогашенную часть основной суммы долга) при вложениях в долговые ценные бумаги иностранных эмитентов. </w:t>
      </w:r>
      <w:r/>
    </w:p>
    <w:p>
      <w:pPr>
        <w:jc w:val="both"/>
      </w:pPr>
      <w:r>
        <w:t xml:space="preserve">6. Подход к проведению классификации финансовых инструментов в соответствии с </w:t>
      </w:r>
      <w:hyperlink r:id="rId76" w:tooltip="https://login.consultant.ru/link/?req=doc&amp;demo=2&amp;base=LAW&amp;n=380195&amp;date=26.06.2022" w:history="1">
        <w:r>
          <w:t xml:space="preserve">МСФО (IFRS) 9</w:t>
        </w:r>
      </w:hyperlink>
      <w:r>
        <w:t xml:space="preserve">. </w:t>
      </w:r>
      <w:r/>
    </w:p>
    <w:p>
      <w:pPr>
        <w:jc w:val="both"/>
      </w:pPr>
      <w:r>
        <w:t xml:space="preserve">7. Корректность представления в финансовой отчетности информации об изменении оценочного резерва под убытки, раскрываемой в соответствии с </w:t>
      </w:r>
      <w:hyperlink r:id="rId77" w:tooltip="https://login.consultant.ru/link/?req=doc&amp;demo=2&amp;base=LAW&amp;n=380200&amp;date=26.06.2022" w:history="1">
        <w:r>
          <w:t xml:space="preserve">МСФО (IFRS) 7</w:t>
        </w:r>
      </w:hyperlink>
      <w:r>
        <w:t xml:space="preserve">, а также корректность порядка расчета количественных показателей при раскрытии информации о факторах, которые способствовали изменению оценочного резерва под убытки. </w:t>
      </w:r>
      <w:r/>
    </w:p>
    <w:p>
      <w:pPr>
        <w:jc w:val="both"/>
      </w:pPr>
      <w:r>
        <w:t xml:space="preserve">8. Методика анализа чувствительности по каждому виду рыночного риска, которому подвержена </w:t>
      </w:r>
      <w:r>
        <w:t xml:space="preserve">некредитная</w:t>
      </w:r>
      <w:r>
        <w:t xml:space="preserve"> финансовая организация на дату окончания отчетного периода, показывающего влияние на прибыль или убыток и собственный капитал, а также полноту представления данной информации в финансовой отчетности в соответствии с </w:t>
      </w:r>
      <w:hyperlink r:id="rId78" w:tooltip="https://login.consultant.ru/link/?req=doc&amp;demo=2&amp;base=LAW&amp;n=380200&amp;date=26.06.2022" w:history="1">
        <w:r>
          <w:t xml:space="preserve">МСФО (IFRS) 7</w:t>
        </w:r>
      </w:hyperlink>
      <w:r>
        <w:t xml:space="preserve">. </w:t>
      </w:r>
      <w:r/>
    </w:p>
    <w:p>
      <w:pPr>
        <w:jc w:val="both"/>
      </w:pPr>
      <w:r>
        <w:t xml:space="preserve">9. Соответствие методики оценки резерва под ожидаемые кредитные убытки по финансовым инструментам </w:t>
      </w:r>
      <w:hyperlink r:id="rId79" w:tooltip="https://login.consultant.ru/link/?req=doc&amp;demo=2&amp;base=LAW&amp;n=380195&amp;date=26.06.2022" w:history="1">
        <w:r>
          <w:t xml:space="preserve">МСФО (IFRS) 9</w:t>
        </w:r>
      </w:hyperlink>
      <w:r>
        <w:t xml:space="preserve">, а именно: метод расчета вероятности наступления события дефолта и уровня потерь при дефолте, распр</w:t>
      </w:r>
      <w:r>
        <w:t xml:space="preserve">еделение финансовых инструментов по стадиям в зависимости от изменения уровня кредитного риска, подход к группировке финансовых инструментов, впоследствии влияющий на создание резервов под ожидаемые кредитные убытки на индивидуальной или групповой основе. </w:t>
      </w:r>
      <w:r/>
    </w:p>
    <w:p>
      <w:pPr>
        <w:jc w:val="both"/>
      </w:pPr>
      <w:r>
        <w:t xml:space="preserve">10. По</w:t>
      </w:r>
      <w:r>
        <w:t xml:space="preserve">рядок признания финансовых инструментов, подлежащих взаимозачету и подпадающих под действие обеспеченного правовой защитой генерального соглашения о взаимозачете, а также полноту раскрытия информации о взаимозачете финансовых инструментов в соответствии с </w:t>
      </w:r>
      <w:hyperlink r:id="rId80" w:tooltip="https://login.consultant.ru/link/?req=doc&amp;demo=2&amp;base=LAW&amp;n=380200&amp;dst=100067&amp;field=134&amp;date=26.06.2022" w:history="1">
        <w:r>
          <w:t xml:space="preserve">пунктами 13А</w:t>
        </w:r>
      </w:hyperlink>
      <w:r>
        <w:t xml:space="preserve">-</w:t>
      </w:r>
      <w:hyperlink r:id="rId81" w:tooltip="https://login.consultant.ru/link/?req=doc&amp;demo=2&amp;base=LAW&amp;n=380200&amp;dst=100080&amp;field=134&amp;date=26.06.2022" w:history="1">
        <w:r>
          <w:t xml:space="preserve">13F</w:t>
        </w:r>
      </w:hyperlink>
      <w:r>
        <w:t xml:space="preserve"> МСФО (IFRS) 7. </w:t>
      </w:r>
      <w:r/>
    </w:p>
    <w:p>
      <w:pPr>
        <w:jc w:val="both"/>
      </w:pPr>
      <w:r>
        <w:t xml:space="preserve">11. Соответствие подхода к определению справедливой стоимости финансовых активов и финансовых обязательств, по которым недоступны релевантные наблюдаемые исходные данные (исходные данные Уровня 3), </w:t>
      </w:r>
      <w:hyperlink r:id="rId82" w:tooltip="https://login.consultant.ru/link/?req=doc&amp;demo=2&amp;base=LAW&amp;n=202743&amp;date=26.06.2022" w:history="1">
        <w:r>
          <w:t xml:space="preserve">МСФО (IFRS) 13</w:t>
        </w:r>
      </w:hyperlink>
      <w:r>
        <w:t xml:space="preserve">. Кроме того, полнота раскрытия информации о справедливой стоимости финансовых инструментов и соответствие раскрытой информации </w:t>
      </w:r>
      <w:hyperlink r:id="rId83" w:tooltip="https://login.consultant.ru/link/?req=doc&amp;demo=2&amp;base=LAW&amp;n=202743&amp;dst=100184&amp;field=134&amp;date=26.06.2022" w:history="1">
        <w:r>
          <w:t xml:space="preserve">пункту 90</w:t>
        </w:r>
      </w:hyperlink>
      <w:r>
        <w:t xml:space="preserve"> МСФО (IFRS) 13. </w:t>
      </w:r>
      <w:r/>
    </w:p>
    <w:p>
      <w:pPr>
        <w:jc w:val="both"/>
      </w:pPr>
      <w:r>
        <w:t xml:space="preserve">12. Корректность трансформации бухгалтерской отчетности, составленной в соответствии с российскими стандартами бухгалтерского учета, в финансовую отчетность по МСФО. </w:t>
      </w:r>
      <w:r/>
    </w:p>
    <w:p>
      <w:pPr>
        <w:jc w:val="both"/>
      </w:pPr>
      <w:r>
        <w:t xml:space="preserve">13. Подтверждение дебиторской и кредиторской задолженности с учетом фактически завершенных между сторонами действий в рамках договоров. </w:t>
      </w:r>
      <w:r/>
    </w:p>
    <w:p>
      <w:pPr>
        <w:jc w:val="both"/>
      </w:pPr>
      <w:r>
        <w:t xml:space="preserve">14. Проверка соответствия сформированных в учете и отраженных в бухгалтерской отчетности отложенных налогов требованиям </w:t>
      </w:r>
      <w:hyperlink r:id="rId84" w:tooltip="https://login.consultant.ru/link/?req=doc&amp;demo=2&amp;base=LAW&amp;n=209457&amp;date=26.06.2022" w:history="1">
        <w:r>
          <w:t xml:space="preserve">Положения</w:t>
        </w:r>
      </w:hyperlink>
      <w:r>
        <w:t xml:space="preserve"> Банка России от 4 сентября 2015 г. N 490-П "Отраслевой стандарт бухгалтерского учета отложенных налоговых обязательств и отложенных налоговых активов </w:t>
      </w:r>
      <w:r>
        <w:t xml:space="preserve">некредитными</w:t>
      </w:r>
      <w:r>
        <w:t xml:space="preserve"> финансовыми организациями"; правомерность признания отложенных налоговых активов. </w:t>
      </w:r>
      <w:r/>
    </w:p>
    <w:p>
      <w:pPr>
        <w:jc w:val="both"/>
      </w:pPr>
      <w:r>
        <w:t xml:space="preserve">15. Анализ существенных изменений в учетной политике и порядок их отражения; оценка причин существенных изменений, в том числе порядок </w:t>
      </w:r>
      <w:r>
        <w:t xml:space="preserve">отражения в бухгалтерском учете и отчетности изменений, связанных с корректировкой подходов, бухгалтерских оценок, выявления ошибок в предыдущих периодах, изменений учетной политики и проверка соблюдения требований о ретроспективном пересчете показателей. </w:t>
      </w:r>
      <w:r/>
    </w:p>
    <w:p>
      <w:pPr>
        <w:jc w:val="both"/>
      </w:pPr>
      <w:r>
        <w:t xml:space="preserve">16. Анализ операций со связанными сторонами в целях получения достоверной информации об отсутствии риска мошенничества, в том числе проверка операций на нерыночных условиях. </w:t>
      </w:r>
      <w:r/>
    </w:p>
    <w:p>
      <w:pPr>
        <w:jc w:val="both"/>
      </w:pPr>
      <w:r>
        <w:t xml:space="preserve">17. Применение страховыми организациями и негосударственными пенсионными фондами МСФО (</w:t>
      </w:r>
      <w:r>
        <w:rPr>
          <w:lang w:val="en-US"/>
        </w:rPr>
        <w:t xml:space="preserve">IFRS</w:t>
      </w:r>
      <w:r>
        <w:t xml:space="preserve">) 9, МСФО (</w:t>
      </w:r>
      <w:r>
        <w:rPr>
          <w:lang w:val="en-US"/>
        </w:rPr>
        <w:t xml:space="preserve">IFRS</w:t>
      </w:r>
      <w:r>
        <w:t xml:space="preserve">) 17, а также отраслевых стандартов Банка России, обязательных к применению с 2025 года. </w:t>
      </w:r>
      <w:r/>
    </w:p>
    <w:p>
      <w:pPr>
        <w:jc w:val="both"/>
      </w:pPr>
      <w:r>
        <w:t xml:space="preserve">18. Проверка наличия мнимых и притворных объектов бухгалтерского учета, используемых для завышения стоимости активов и искусственного формирования капитала кредитных потребительских кооперативов в неденежной форме. </w:t>
      </w:r>
      <w:r/>
    </w:p>
    <w:p>
      <w:pPr>
        <w:jc w:val="both"/>
      </w:pPr>
      <w:r>
        <w:t xml:space="preserve">19. Соблюдение </w:t>
      </w:r>
      <w:hyperlink r:id="rId85" w:tooltip="https://login.consultant.ru/link/?req=doc&amp;demo=2&amp;base=LAW&amp;n=380195&amp;date=26.06.2022" w:history="1">
        <w:r>
          <w:t xml:space="preserve">МСФО (IFRS) 9</w:t>
        </w:r>
      </w:hyperlink>
      <w:r>
        <w:t xml:space="preserve"> при расчете резервов под обесценение по предоставленным денежным займам в соответствии с </w:t>
      </w:r>
      <w:hyperlink r:id="rId86" w:tooltip="https://login.consultant.ru/link/?req=doc&amp;demo=2&amp;base=LAW&amp;n=365733&amp;date=26.06.2022" w:history="1">
        <w:r>
          <w:t xml:space="preserve">Положением</w:t>
        </w:r>
      </w:hyperlink>
      <w:r>
        <w:t xml:space="preserve"> Банка России от 1 октября 2015 г. N 493-П "Отраслевой стандарт бухгалтерского учета </w:t>
      </w:r>
      <w:r>
        <w:t xml:space="preserve">некредитными</w:t>
      </w:r>
      <w:r>
        <w:t xml:space="preserve"> финансовыми организациями операций по выдаче (размещению) денежных средств по договорам займа и договорам банковского вклада", в том числе результаты оценки ожидаемых кредитных убытков, применяемой микрофинансовыми организациями для формирования р</w:t>
      </w:r>
      <w:r>
        <w:t xml:space="preserve">езервов под обесценение по предоставленным займам и их соответствие фактическим кредитным убыткам по аналогичным займам в предыдущих периодах, скорректированным с учетом изменения релевантных наблюдаемых данных (например, уровня безработицы и уровня цен). </w:t>
      </w:r>
      <w:r/>
    </w:p>
    <w:p>
      <w:pPr>
        <w:jc w:val="both"/>
      </w:pPr>
      <w:r>
        <w:t xml:space="preserve">20. Корректность расчета обязательного норматива достаточности капитала профессиональными участниками рынка ценных бумаг.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t xml:space="preserve">Глубокое понимание отраслевых стандартов бухгалтерского учета, правил составления бухгалтерской (финансовой) отчетности </w:t>
      </w:r>
      <w:r>
        <w:t xml:space="preserve">некредитных</w:t>
      </w:r>
      <w:r>
        <w:t xml:space="preserve"> финансовых организаций, особенностей проведения аудита </w:t>
      </w:r>
      <w:r>
        <w:t xml:space="preserve">некредитных</w:t>
      </w:r>
      <w:r>
        <w:t xml:space="preserve"> финансовых организаций.</w:t>
      </w:r>
      <w:r>
        <w:rPr>
          <w:b/>
        </w:rPr>
      </w:r>
    </w:p>
    <w:p>
      <w:pPr>
        <w:jc w:val="both"/>
      </w:pPr>
      <w:r/>
      <w:r/>
    </w:p>
    <w:p>
      <w:pPr>
        <w:jc w:val="both"/>
        <w:keepNext/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b/>
          <w:bCs/>
        </w:rPr>
        <w:t xml:space="preserve">6-6-07 </w:t>
      </w:r>
      <w:r>
        <w:rPr>
          <w:rFonts w:eastAsiaTheme="minorHAnsi"/>
          <w:b/>
          <w:lang w:eastAsia="en-US"/>
        </w:rPr>
        <w:t xml:space="preserve">«СОСТАВ И СОДЕРЖАНИЕ ФИНАНСОВОЙ ОТЧЕТНОСТИ ПО МСФО НЕКРЕДИТНЫХ ОРГАНИЗАЦИЙ: ПРЕДСТАВЛЕНИЕ ИНФОРМАЦИИ И ЕЕ ДОПОЛНИТЕЛЬНОЕ РАСКРЫТИЕ» </w:t>
      </w:r>
      <w:r>
        <w:rPr>
          <w:rFonts w:eastAsiaTheme="minorHAnsi"/>
          <w:b/>
          <w:lang w:eastAsia="en-US"/>
        </w:rPr>
      </w:r>
    </w:p>
    <w:p>
      <w:pPr>
        <w:jc w:val="both"/>
      </w:pPr>
      <w:r/>
      <w:r/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8 академических часов.</w:t>
      </w:r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  <w:t xml:space="preserve">Цель программы</w:t>
      </w:r>
      <w:r>
        <w:t xml:space="preserve"> – углубление знаний аудиторов и руководителей аудита общественно значимых организаций, желающих специализироваться на аудите </w:t>
      </w:r>
      <w:r>
        <w:t xml:space="preserve">некредитных</w:t>
      </w:r>
      <w:r>
        <w:t xml:space="preserve"> организаций, в отношении применения требований МСФО при подготовке финансовой отчетности </w:t>
      </w:r>
      <w:r>
        <w:t xml:space="preserve">некредитных</w:t>
      </w:r>
      <w:r>
        <w:t xml:space="preserve"> организаций.</w:t>
      </w:r>
      <w:r>
        <w:rPr>
          <w:b/>
          <w:bCs/>
        </w:rPr>
      </w:r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Тема 1. Основные формы финансовой отчетности </w:t>
      </w:r>
      <w:r>
        <w:rPr>
          <w:b/>
          <w:bCs/>
        </w:rPr>
        <w:t xml:space="preserve">некредитных</w:t>
      </w:r>
      <w:r>
        <w:rPr>
          <w:b/>
          <w:bCs/>
        </w:rPr>
        <w:t xml:space="preserve"> организаций</w:t>
      </w:r>
      <w:r>
        <w:rPr>
          <w:b/>
          <w:bCs/>
        </w:rPr>
      </w:r>
    </w:p>
    <w:p>
      <w:pPr>
        <w:jc w:val="both"/>
      </w:pPr>
      <w:r/>
      <w:r/>
    </w:p>
    <w:p>
      <w:pPr>
        <w:numPr>
          <w:ilvl w:val="0"/>
          <w:numId w:val="72"/>
        </w:numPr>
        <w:contextualSpacing/>
        <w:jc w:val="both"/>
      </w:pPr>
      <w:r>
        <w:t xml:space="preserve">Бухгалтерский баланс;</w:t>
      </w:r>
      <w:r/>
    </w:p>
    <w:p>
      <w:pPr>
        <w:numPr>
          <w:ilvl w:val="0"/>
          <w:numId w:val="72"/>
        </w:numPr>
        <w:contextualSpacing/>
        <w:jc w:val="both"/>
        <w:rPr>
          <w:rFonts w:eastAsia="Tahoma"/>
        </w:rPr>
      </w:pPr>
      <w:r>
        <w:rPr>
          <w:rFonts w:eastAsia="Tahoma"/>
        </w:rPr>
        <w:t xml:space="preserve">Отчет о финансовых результатах</w:t>
      </w:r>
      <w:r>
        <w:t xml:space="preserve">;</w:t>
      </w:r>
      <w:r>
        <w:rPr>
          <w:rFonts w:eastAsia="Tahoma"/>
        </w:rPr>
      </w:r>
    </w:p>
    <w:p>
      <w:pPr>
        <w:numPr>
          <w:ilvl w:val="0"/>
          <w:numId w:val="72"/>
        </w:numPr>
        <w:contextualSpacing/>
        <w:jc w:val="both"/>
        <w:rPr>
          <w:rFonts w:eastAsia="Tahoma"/>
        </w:rPr>
      </w:pPr>
      <w:r>
        <w:t xml:space="preserve">Отчет об изменениях собственного капитала;</w:t>
      </w:r>
      <w:r>
        <w:rPr>
          <w:rFonts w:eastAsia="Tahoma"/>
        </w:rPr>
      </w:r>
    </w:p>
    <w:p>
      <w:pPr>
        <w:numPr>
          <w:ilvl w:val="0"/>
          <w:numId w:val="72"/>
        </w:numPr>
        <w:contextualSpacing/>
        <w:jc w:val="both"/>
        <w:rPr>
          <w:rFonts w:eastAsia="Tahoma"/>
        </w:rPr>
      </w:pPr>
      <w:r>
        <w:t xml:space="preserve">Отчет о движении денежных средств.</w:t>
      </w:r>
      <w:r>
        <w:rPr>
          <w:rFonts w:eastAsia="Tahoma"/>
        </w:rPr>
      </w:r>
    </w:p>
    <w:p>
      <w:pPr>
        <w:contextualSpacing/>
        <w:ind w:left="720"/>
        <w:jc w:val="both"/>
        <w:rPr>
          <w:rFonts w:eastAsia="Tahoma"/>
        </w:rPr>
      </w:pPr>
      <w:r>
        <w:rPr>
          <w:rFonts w:eastAsia="Tahoma"/>
        </w:rPr>
      </w:r>
      <w:r>
        <w:rPr>
          <w:rFonts w:eastAsia="Tahoma"/>
        </w:rPr>
      </w:r>
    </w:p>
    <w:p>
      <w:pPr>
        <w:jc w:val="both"/>
        <w:rPr>
          <w:b/>
        </w:rPr>
      </w:pPr>
      <w:r>
        <w:rPr>
          <w:b/>
        </w:rPr>
        <w:t xml:space="preserve">Тема 2. Раскрытие информации </w:t>
      </w:r>
      <w:r>
        <w:rPr>
          <w:b/>
          <w:bCs/>
        </w:rPr>
        <w:t xml:space="preserve">некредитных</w:t>
      </w:r>
      <w:r>
        <w:rPr>
          <w:b/>
          <w:bCs/>
        </w:rPr>
        <w:t xml:space="preserve"> </w:t>
      </w:r>
      <w:r>
        <w:rPr>
          <w:b/>
        </w:rPr>
        <w:t xml:space="preserve">организаций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numPr>
          <w:ilvl w:val="0"/>
          <w:numId w:val="73"/>
        </w:numPr>
        <w:contextualSpacing/>
        <w:jc w:val="both"/>
      </w:pPr>
      <w:r>
        <w:rPr>
          <w:rFonts w:eastAsia="Tahoma"/>
          <w:shd w:val="clear" w:color="auto" w:fill="ffffff"/>
        </w:rPr>
        <w:t xml:space="preserve">Раскрытие основной деятельности;</w:t>
      </w:r>
      <w:r/>
    </w:p>
    <w:p>
      <w:pPr>
        <w:numPr>
          <w:ilvl w:val="0"/>
          <w:numId w:val="73"/>
        </w:numPr>
        <w:contextualSpacing/>
        <w:jc w:val="both"/>
      </w:pPr>
      <w:r>
        <w:rPr>
          <w:rFonts w:eastAsia="Tahoma"/>
          <w:shd w:val="clear" w:color="auto" w:fill="ffffff"/>
        </w:rPr>
        <w:t xml:space="preserve">Раскрытие экономической среды, в которой </w:t>
      </w:r>
      <w:r>
        <w:rPr>
          <w:rFonts w:eastAsia="Tahoma"/>
          <w:shd w:val="clear" w:color="auto" w:fill="ffffff"/>
        </w:rPr>
        <w:t xml:space="preserve">некредитная</w:t>
      </w:r>
      <w:r>
        <w:rPr>
          <w:rFonts w:eastAsia="Tahoma"/>
          <w:shd w:val="clear" w:color="auto" w:fill="ffffff"/>
        </w:rPr>
        <w:t xml:space="preserve"> организация осуществляет свою деятельность;</w:t>
      </w:r>
      <w:r/>
    </w:p>
    <w:p>
      <w:pPr>
        <w:numPr>
          <w:ilvl w:val="0"/>
          <w:numId w:val="73"/>
        </w:numPr>
        <w:contextualSpacing/>
        <w:jc w:val="both"/>
      </w:pPr>
      <w:r>
        <w:rPr>
          <w:rFonts w:eastAsia="Tahoma"/>
          <w:shd w:val="clear" w:color="auto" w:fill="ffffff"/>
        </w:rPr>
        <w:t xml:space="preserve">Принципы учетной политики, важные оценки и профессиональные суждения в применении учетной политики; </w:t>
      </w:r>
      <w:r/>
    </w:p>
    <w:p>
      <w:pPr>
        <w:numPr>
          <w:ilvl w:val="0"/>
          <w:numId w:val="6"/>
        </w:numPr>
        <w:ind w:left="675"/>
        <w:jc w:val="both"/>
      </w:pPr>
      <w:r>
        <w:t xml:space="preserve">Раскрытие отдельных статей финансовой отчетности;</w:t>
      </w:r>
      <w:r/>
    </w:p>
    <w:p>
      <w:pPr>
        <w:numPr>
          <w:ilvl w:val="0"/>
          <w:numId w:val="6"/>
        </w:numPr>
        <w:ind w:left="675"/>
        <w:jc w:val="both"/>
      </w:pPr>
      <w:r>
        <w:t xml:space="preserve">Финансовые обязательства, классифицируемые как оцениваемые по справедливой стоимости через прибыль или убыток, по усмотрению </w:t>
      </w:r>
      <w:r>
        <w:t xml:space="preserve">некредитной</w:t>
      </w:r>
      <w:r>
        <w:t xml:space="preserve"> финансовой организации</w:t>
      </w:r>
      <w:r/>
    </w:p>
    <w:p>
      <w:pPr>
        <w:ind w:left="675"/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понимание отраслевых стандартов бухгалтерского учета, бухгалтерской (финансовой) отчетности </w:t>
      </w:r>
      <w:r>
        <w:t xml:space="preserve">некредитных</w:t>
      </w:r>
      <w:r>
        <w:t xml:space="preserve"> финансовых организаций,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  <w:keepNext/>
        <w:rPr>
          <w:rFonts w:eastAsiaTheme="minorHAnsi"/>
          <w:b/>
          <w:lang w:eastAsia="en-US"/>
        </w:rPr>
        <w:outlineLvl w:val="0"/>
      </w:pPr>
      <w:r>
        <w:rPr>
          <w:b/>
          <w:bCs/>
        </w:rPr>
        <w:t xml:space="preserve">6-6-08 </w:t>
      </w:r>
      <w:r>
        <w:rPr>
          <w:rFonts w:eastAsiaTheme="minorHAnsi"/>
          <w:b/>
          <w:lang w:eastAsia="en-US"/>
        </w:rPr>
        <w:t xml:space="preserve">«НОВЫЕ МСФО. АКТУАЛЬНЫЕ ВОПРОСЫ ПРИМЕНЕНИЯ ПРИ АУДИТЕ НЕКРЕДИТНЫХ ОРГАНИЗАЦИЙ» </w:t>
      </w:r>
      <w:r>
        <w:rPr>
          <w:rFonts w:eastAsiaTheme="minorHAnsi"/>
          <w:b/>
          <w:lang w:eastAsia="en-US"/>
        </w:rPr>
      </w:r>
    </w:p>
    <w:p>
      <w:pPr>
        <w:jc w:val="both"/>
      </w:pPr>
      <w:r/>
      <w:r/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 – 8 академических часов.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Цель программы</w:t>
      </w:r>
      <w:r>
        <w:t xml:space="preserve"> – углубление знаний аудиторов и руководителей аудита общественно значимых организаций, желающих специализироваться на аудите </w:t>
      </w:r>
      <w:r>
        <w:t xml:space="preserve">некредитных</w:t>
      </w:r>
      <w:r>
        <w:t xml:space="preserve"> организаций, в части отдельных международных стандартов финансовой отчетности, применимых для </w:t>
      </w:r>
      <w:r>
        <w:t xml:space="preserve">некредитных</w:t>
      </w:r>
      <w:r>
        <w:t xml:space="preserve"> организаций, проведения аудита </w:t>
      </w:r>
      <w:r>
        <w:t xml:space="preserve">некредитных</w:t>
      </w:r>
      <w:r>
        <w:t xml:space="preserve"> организаций.</w:t>
      </w:r>
      <w:r>
        <w:rPr>
          <w:b/>
          <w:bCs/>
        </w:rPr>
      </w:r>
    </w:p>
    <w:p>
      <w:pPr>
        <w:ind w:right="-1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"/>
        <w:jc w:val="both"/>
        <w:rPr>
          <w:b/>
        </w:rPr>
      </w:pPr>
      <w:r>
        <w:rPr>
          <w:b/>
        </w:rPr>
        <w:t xml:space="preserve">Тема 1. Применение новых редакций международных стандартов финансовой отчетности в </w:t>
      </w:r>
      <w:r>
        <w:rPr>
          <w:b/>
        </w:rPr>
        <w:t xml:space="preserve">некредитных</w:t>
      </w:r>
      <w:r>
        <w:rPr>
          <w:b/>
        </w:rPr>
        <w:t xml:space="preserve"> организациях</w:t>
      </w:r>
      <w:r>
        <w:rPr>
          <w:b/>
        </w:rPr>
      </w:r>
    </w:p>
    <w:p>
      <w:pPr>
        <w:ind w:right="-1"/>
        <w:jc w:val="both"/>
      </w:pPr>
      <w:r/>
      <w:r/>
    </w:p>
    <w:p>
      <w:pPr>
        <w:numPr>
          <w:ilvl w:val="0"/>
          <w:numId w:val="80"/>
        </w:numPr>
        <w:contextualSpacing/>
        <w:jc w:val="both"/>
      </w:pPr>
      <w:r>
        <w:t xml:space="preserve">Международный стандарт финансовой отчетности (IFRS) 9 «Финансовые инструменты»</w:t>
      </w:r>
      <w:r/>
    </w:p>
    <w:p>
      <w:pPr>
        <w:numPr>
          <w:ilvl w:val="0"/>
          <w:numId w:val="80"/>
        </w:numPr>
        <w:contextualSpacing/>
        <w:jc w:val="both"/>
      </w:pPr>
      <w:r>
        <w:t xml:space="preserve">Международный стандарт финансовой отчетности (IAS) 34 «Промежуточная отчетность» </w:t>
      </w:r>
      <w:r/>
    </w:p>
    <w:p>
      <w:pPr>
        <w:numPr>
          <w:ilvl w:val="0"/>
          <w:numId w:val="80"/>
        </w:numPr>
        <w:contextualSpacing/>
        <w:jc w:val="both"/>
      </w:pPr>
      <w:r>
        <w:t xml:space="preserve">Прочие международные стандарты финансовой отчетности</w:t>
      </w:r>
      <w:r/>
    </w:p>
    <w:p>
      <w:pPr>
        <w:contextualSpacing/>
        <w:ind w:left="720"/>
        <w:jc w:val="both"/>
        <w:rPr>
          <w:rFonts w:eastAsia="Tahoma"/>
        </w:rPr>
      </w:pPr>
      <w:r>
        <w:rPr>
          <w:rFonts w:eastAsia="Tahoma"/>
        </w:rPr>
      </w:r>
      <w:r>
        <w:rPr>
          <w:rFonts w:eastAsia="Tahoma"/>
        </w:rPr>
      </w:r>
    </w:p>
    <w:p>
      <w:pPr>
        <w:jc w:val="both"/>
        <w:rPr>
          <w:b/>
          <w:bCs/>
        </w:rPr>
      </w:pPr>
      <w:r>
        <w:rPr>
          <w:b/>
          <w:bCs/>
        </w:rPr>
        <w:t xml:space="preserve">Тема 2. Вопросы применения при аудите </w:t>
      </w:r>
      <w:r>
        <w:rPr>
          <w:b/>
          <w:bCs/>
        </w:rPr>
        <w:t xml:space="preserve">некредитных</w:t>
      </w:r>
      <w:r>
        <w:rPr>
          <w:b/>
          <w:bCs/>
        </w:rPr>
        <w:t xml:space="preserve"> организаций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numPr>
          <w:ilvl w:val="0"/>
          <w:numId w:val="81"/>
        </w:numPr>
        <w:contextualSpacing/>
        <w:jc w:val="both"/>
      </w:pPr>
      <w:r>
        <w:t xml:space="preserve">Международные стандарты финансовой отчетности, применимые для </w:t>
      </w:r>
      <w:r>
        <w:t xml:space="preserve">некредитных</w:t>
      </w:r>
      <w:r>
        <w:t xml:space="preserve"> организаций </w:t>
      </w:r>
      <w:r/>
    </w:p>
    <w:p>
      <w:pPr>
        <w:numPr>
          <w:ilvl w:val="0"/>
          <w:numId w:val="81"/>
        </w:numPr>
        <w:contextualSpacing/>
        <w:jc w:val="both"/>
      </w:pPr>
      <w:r>
        <w:t xml:space="preserve">Консолидированная финансовая отчетность</w:t>
      </w:r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Глубокое понимание отраслевых стандартов бухгалтерского учета, бухгалтерской (финансовой) отчетности </w:t>
      </w:r>
      <w:r>
        <w:t xml:space="preserve">некредитных</w:t>
      </w:r>
      <w:r>
        <w:t xml:space="preserve"> финансовых организаций,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/>
    </w:p>
    <w:p>
      <w:pPr>
        <w:jc w:val="both"/>
      </w:pPr>
      <w:r/>
      <w:r/>
    </w:p>
    <w:p>
      <w:pPr>
        <w:jc w:val="both"/>
        <w:spacing w:before="100" w:beforeAutospacing="1" w:after="100" w:afterAutospacing="1"/>
      </w:pPr>
      <w:r>
        <w:rPr>
          <w:b/>
          <w:bCs/>
        </w:rPr>
        <w:t xml:space="preserve">6-6-09 «АНАЛИЗ БУХГАЛТЕРСКОЙ (ФИНАНСОВОЙ) ОТЧЕТНОСТИ НЕКРЕДИТНЫХ ФИНАНСОВЫХ ОРГАНИЗАЦИЙ С ЦЕЛЬЮ ОЦЕНКИ ВОЗМОЖНОЙ ЕЕ ФАЛЬСИФИКАЦИИ»</w:t>
      </w:r>
      <w:r/>
    </w:p>
    <w:p>
      <w:pPr>
        <w:jc w:val="both"/>
        <w:spacing w:before="100" w:beforeAutospacing="1" w:after="100" w:afterAutospacing="1"/>
      </w:pPr>
      <w:r>
        <w:rPr>
          <w:b/>
          <w:bCs/>
        </w:rPr>
        <w:t xml:space="preserve">Продолжительность обучения </w:t>
      </w:r>
      <w:r>
        <w:t xml:space="preserve">— 8 академических часов.</w:t>
      </w:r>
      <w:r/>
    </w:p>
    <w:p>
      <w:pPr>
        <w:jc w:val="both"/>
        <w:spacing w:before="100" w:beforeAutospacing="1" w:after="100" w:afterAutospacing="1"/>
      </w:pPr>
      <w:r>
        <w:rPr>
          <w:b/>
          <w:bCs/>
        </w:rPr>
        <w:t xml:space="preserve">Цель программы</w:t>
      </w:r>
      <w:r>
        <w:t xml:space="preserve"> — п</w:t>
      </w:r>
      <w:r>
        <w:t xml:space="preserve">олучение теоретических знаний и развитие практических навыков аудиторов в области анализа бухгалтерской (финансовой) отчетности </w:t>
      </w:r>
      <w:r>
        <w:t xml:space="preserve">некредитных</w:t>
      </w:r>
      <w:r>
        <w:t xml:space="preserve"> финансовых организаций (НФО) с целью оценки возможной ее фальсификации.</w:t>
      </w:r>
      <w:r/>
    </w:p>
    <w:p>
      <w:pPr>
        <w:jc w:val="both"/>
        <w:rPr>
          <w:b/>
        </w:rPr>
      </w:pPr>
      <w:r>
        <w:rPr>
          <w:b/>
        </w:rPr>
        <w:t xml:space="preserve">Тема 1. Известные формы и методы фальсификации бухгалтерской (финансовой) отчетности</w:t>
      </w:r>
      <w:r>
        <w:rPr>
          <w:b/>
        </w:rPr>
      </w:r>
    </w:p>
    <w:p>
      <w:pPr>
        <w:jc w:val="both"/>
      </w:pPr>
      <w:r/>
      <w:r/>
    </w:p>
    <w:p>
      <w:pPr>
        <w:jc w:val="both"/>
      </w:pPr>
      <w:r>
        <w:t xml:space="preserve">Формы искажения бухгалтерской (финансовой) отчетности: </w:t>
      </w:r>
      <w:r>
        <w:t xml:space="preserve">вуалирование</w:t>
      </w:r>
      <w:r>
        <w:t xml:space="preserve"> и фальсификация. Методы </w:t>
      </w:r>
      <w:r>
        <w:t xml:space="preserve">вуалирования</w:t>
      </w:r>
      <w:r>
        <w:t xml:space="preserve"> бухгалтерской (финансовой) отчетности. Классификационные признаки фальсификации бухгалтерской (финансовой) отчетности.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2. Рассмотрение практических примеров недобросовестных действий при составлении бухгалтерской (финансовой) отчетности</w:t>
      </w:r>
      <w:r>
        <w:rPr>
          <w:b/>
        </w:rPr>
      </w:r>
    </w:p>
    <w:p>
      <w:pPr>
        <w:jc w:val="both"/>
      </w:pPr>
      <w:r/>
      <w:r/>
    </w:p>
    <w:p>
      <w:pPr>
        <w:jc w:val="both"/>
      </w:pPr>
      <w:r>
        <w:t xml:space="preserve">Рассмотрение основных элементов возможной фальсификации бухгалтерской (финансовой) отчетности, в т. ч. «сигналов опасности» на следующих типовых примерах:</w:t>
      </w:r>
      <w:r/>
    </w:p>
    <w:p>
      <w:pPr>
        <w:jc w:val="both"/>
      </w:pPr>
      <w:r>
        <w:t xml:space="preserve">Финансовые активы и обязательства:</w:t>
      </w:r>
      <w:r/>
    </w:p>
    <w:p>
      <w:pPr>
        <w:numPr>
          <w:ilvl w:val="0"/>
          <w:numId w:val="98"/>
        </w:numPr>
        <w:ind w:left="567" w:hanging="567"/>
        <w:jc w:val="both"/>
      </w:pPr>
      <w:r>
        <w:t xml:space="preserve">неадекватная классификация финансовых активов;</w:t>
      </w:r>
      <w:r/>
    </w:p>
    <w:p>
      <w:pPr>
        <w:numPr>
          <w:ilvl w:val="0"/>
          <w:numId w:val="98"/>
        </w:numPr>
        <w:ind w:left="567" w:hanging="567"/>
        <w:jc w:val="both"/>
      </w:pPr>
      <w:r>
        <w:t xml:space="preserve">искажения или неадекватная оценка справедливой стоимости финансовых активов;</w:t>
      </w:r>
      <w:r/>
    </w:p>
    <w:p>
      <w:pPr>
        <w:numPr>
          <w:ilvl w:val="0"/>
          <w:numId w:val="98"/>
        </w:numPr>
        <w:ind w:left="567" w:hanging="567"/>
        <w:jc w:val="both"/>
      </w:pPr>
      <w:r>
        <w:t xml:space="preserve">необоснованное прекращение признания финансовых активов;</w:t>
      </w:r>
      <w:r/>
    </w:p>
    <w:p>
      <w:pPr>
        <w:numPr>
          <w:ilvl w:val="0"/>
          <w:numId w:val="98"/>
        </w:numPr>
        <w:ind w:left="567" w:hanging="567"/>
        <w:jc w:val="both"/>
      </w:pPr>
      <w:r>
        <w:t xml:space="preserve">манипулирование с оценкой резервов под ОКУ или отсутствие резервов ОКУ;</w:t>
      </w:r>
      <w:r/>
    </w:p>
    <w:p>
      <w:pPr>
        <w:numPr>
          <w:ilvl w:val="0"/>
          <w:numId w:val="98"/>
        </w:numPr>
        <w:ind w:left="567" w:hanging="567"/>
        <w:jc w:val="both"/>
      </w:pPr>
      <w:r>
        <w:t xml:space="preserve">ненадлежащее раскрытие информации в финансовой отчетности.</w:t>
      </w:r>
      <w:r/>
    </w:p>
    <w:p>
      <w:pPr>
        <w:jc w:val="both"/>
      </w:pPr>
      <w:r>
        <w:t xml:space="preserve">Внеоборотные активы:</w:t>
      </w:r>
      <w:r/>
    </w:p>
    <w:p>
      <w:pPr>
        <w:numPr>
          <w:ilvl w:val="0"/>
          <w:numId w:val="99"/>
        </w:numPr>
        <w:ind w:left="567" w:hanging="567"/>
        <w:jc w:val="both"/>
      </w:pPr>
      <w:r>
        <w:t xml:space="preserve">искажения стоимости внеоборотных активов (основных средств, инвестиционного имущества, нематериальных активов);</w:t>
      </w:r>
      <w:r/>
    </w:p>
    <w:p>
      <w:pPr>
        <w:numPr>
          <w:ilvl w:val="0"/>
          <w:numId w:val="99"/>
        </w:numPr>
        <w:ind w:left="567" w:hanging="567"/>
        <w:jc w:val="both"/>
      </w:pPr>
      <w:r>
        <w:t xml:space="preserve">применения неправильных ставок амортизации;</w:t>
      </w:r>
      <w:r/>
    </w:p>
    <w:p>
      <w:pPr>
        <w:numPr>
          <w:ilvl w:val="0"/>
          <w:numId w:val="99"/>
        </w:numPr>
        <w:ind w:left="567" w:hanging="567"/>
        <w:jc w:val="both"/>
      </w:pPr>
      <w:r>
        <w:t xml:space="preserve">капитализация расходов, не связанных с приобретением основных средств;</w:t>
      </w:r>
      <w:r/>
    </w:p>
    <w:p>
      <w:pPr>
        <w:numPr>
          <w:ilvl w:val="0"/>
          <w:numId w:val="99"/>
        </w:numPr>
        <w:ind w:left="567" w:hanging="567"/>
        <w:jc w:val="both"/>
      </w:pPr>
      <w:r>
        <w:t xml:space="preserve">отражение имущества в качестве активов, при отсутствии права его признания.</w:t>
      </w:r>
      <w:r/>
    </w:p>
    <w:p>
      <w:pPr>
        <w:jc w:val="both"/>
      </w:pPr>
      <w:r>
        <w:t xml:space="preserve">Выручка /Доходы /Расходы.</w:t>
      </w:r>
      <w:r/>
    </w:p>
    <w:p>
      <w:pPr>
        <w:jc w:val="both"/>
      </w:pPr>
      <w:r>
        <w:t xml:space="preserve">Дебиторская/Кредиторская задолженность.</w:t>
      </w:r>
      <w:r/>
    </w:p>
    <w:p>
      <w:pPr>
        <w:jc w:val="both"/>
      </w:pPr>
      <w:r>
        <w:t xml:space="preserve">Налоги.</w:t>
      </w:r>
      <w:r/>
    </w:p>
    <w:p>
      <w:pPr>
        <w:jc w:val="both"/>
      </w:pPr>
      <w:r>
        <w:t xml:space="preserve">Оценочные и условные обязательства.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3. Ключевые методы оценки возможного искажения бухгалтерской (финансовой) отчетности</w:t>
      </w:r>
      <w:r>
        <w:rPr>
          <w:b/>
        </w:rPr>
      </w:r>
    </w:p>
    <w:p>
      <w:pPr>
        <w:jc w:val="both"/>
      </w:pPr>
      <w:r/>
      <w:r/>
    </w:p>
    <w:p>
      <w:pPr>
        <w:jc w:val="both"/>
      </w:pPr>
      <w:r>
        <w:t xml:space="preserve">Оценка согласованности отчетов и примечаний к бухгалтерской (финансовой) отчетности НФО как метод оценки возможного искажения бухгалтерской (финансовой) отчетности. Иные методы оценки вероятности искажения отчетности.</w:t>
      </w:r>
      <w:r/>
    </w:p>
    <w:p>
      <w:pPr>
        <w:jc w:val="both"/>
        <w:spacing w:before="100" w:beforeAutospacing="1" w:after="100" w:afterAutospacing="1"/>
      </w:pPr>
      <w:r>
        <w:rPr>
          <w:b/>
          <w:bCs/>
        </w:rPr>
        <w:t xml:space="preserve">Результат обучения</w:t>
      </w:r>
      <w:r/>
    </w:p>
    <w:p>
      <w:pPr>
        <w:jc w:val="both"/>
        <w:spacing w:before="100" w:beforeAutospacing="1" w:after="100" w:afterAutospacing="1"/>
      </w:pPr>
      <w:r>
        <w:t xml:space="preserve">Углубление и детализация знаний аудиторов в части анализа бухгалтерской (финансовой) отчетности </w:t>
      </w:r>
      <w:r>
        <w:t xml:space="preserve">некредитных</w:t>
      </w:r>
      <w:r>
        <w:t xml:space="preserve"> финансовых организаций, с целью получения необходимой информации о финансовом состоянии аудируемого лица — НФО и предварительной оценки аудиторского риска.</w:t>
      </w:r>
      <w:r/>
    </w:p>
    <w:p>
      <w:pPr>
        <w:ind w:left="10" w:right="-113" w:hanging="1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10" w:right="-113" w:hanging="10"/>
        <w:jc w:val="both"/>
      </w:pPr>
      <w:r>
        <w:rPr>
          <w:b/>
        </w:rPr>
        <w:t xml:space="preserve">6-6-10 </w:t>
      </w:r>
      <w:r>
        <w:rPr>
          <w:rFonts w:eastAsia="Calibri"/>
          <w:b/>
          <w:lang w:eastAsia="en-US"/>
        </w:rPr>
        <w:t xml:space="preserve">«АКТУАЛЬНЫЕ ВОПРОСЫ ПРИМЕНЕНИЯ</w:t>
      </w:r>
      <w:r>
        <w:rPr>
          <w:rFonts w:eastAsia="Calibri"/>
          <w:b/>
        </w:rPr>
        <w:t xml:space="preserve"> </w:t>
      </w:r>
      <w:r>
        <w:rPr>
          <w:rFonts w:eastAsia="Calibri"/>
          <w:b/>
          <w:lang w:eastAsia="en-US"/>
        </w:rPr>
        <w:t xml:space="preserve">ОТРАСЛЕВЫХ СТАНДАРТОВ БУХГАЛТЕРСКОГО УЧЕТА, МСФО,</w:t>
      </w:r>
      <w:r>
        <w:rPr>
          <w:rFonts w:eastAsia="Calibri"/>
          <w:b/>
        </w:rPr>
        <w:t xml:space="preserve"> ПОСЛЕДНИЕ ИЗМЕНЕНИЯ В НАЛОГООБЛОЖЕНИИ И ЗАКОНОДАТЕЛЬСТВ</w:t>
      </w:r>
      <w:r>
        <w:rPr>
          <w:rFonts w:eastAsia="Calibri"/>
          <w:b/>
        </w:rPr>
        <w:t xml:space="preserve">Е ПРИ АУДИТЕ БРОКЕРОВ, УПРАВЛЯЮЩИХ, ИНВЕСТИЦИОННЫХ СОВЕТНИКОВ, ДЕПОЗИТЕРИЕВ, ДЕРЖАТЕЛЕЙ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ФОНДОВ»</w:t>
      </w:r>
      <w:r>
        <w:t xml:space="preserve">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Продолжительность обучения</w:t>
      </w:r>
      <w:r>
        <w:t xml:space="preserve"> - 8 академических часов.  </w:t>
      </w:r>
      <w:r/>
    </w:p>
    <w:p>
      <w:pPr>
        <w:ind w:left="10" w:right="-113" w:hanging="10"/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Цель программы</w:t>
      </w:r>
      <w:r>
        <w:t xml:space="preserve"> - углубление знаний аудиторов и руководителей аудита брокеров, управляющих, инвестиционных советников, депозитариев, держ</w:t>
      </w:r>
      <w:r>
        <w:t xml:space="preserve">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 в отношении ОСБУ, МСФО, отчетности, налогообложения и правового законодательства.</w:t>
      </w:r>
      <w:r>
        <w:rPr>
          <w:b/>
        </w:rPr>
      </w:r>
    </w:p>
    <w:p>
      <w:pPr>
        <w:ind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right="-113"/>
        <w:jc w:val="both"/>
      </w:pPr>
      <w:r>
        <w:rPr>
          <w:b/>
        </w:rPr>
        <w:t xml:space="preserve">Обязательные вопросы*</w:t>
      </w:r>
      <w:r>
        <w:t xml:space="preserve">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t xml:space="preserve">Общая характеристика современного состояния правового регулирования предмета изучаемого акта. Причины и цели принятия изучаемого акта. Концепция изучаемого акта. Круг </w:t>
      </w:r>
      <w:r>
        <w:t xml:space="preserve">лиц, на которых распространяется действие изучаемого акта. Место изучаемого акта в общей системе нормативных правовых актов данной отрасли права. Содержание изучаемого акта, его новеллы в сравнении с ранее действовавшим актом в отношении того же предмета. </w:t>
      </w:r>
      <w:r>
        <w:t xml:space="preserve">Порядок вступления в силу изучаемого акта и переходные положения. Последствия принятия изучаемого акта для аудируемых лиц. Влияние принятия изучаемого акта на проведение аудита бухгалтерской (финансовой)</w:t>
      </w:r>
      <w:r>
        <w:t xml:space="preserve"> отчетности брокеров, управляющих, инвестиционных советников, депозитариев, держателей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фондов. </w:t>
      </w:r>
      <w:r/>
    </w:p>
    <w:p>
      <w:pPr>
        <w:ind w:left="10" w:right="-113" w:hanging="10"/>
        <w:jc w:val="both"/>
      </w:pPr>
      <w:r>
        <w:t xml:space="preserve"> </w:t>
      </w:r>
      <w:r/>
    </w:p>
    <w:p>
      <w:pPr>
        <w:ind w:left="10" w:right="-113" w:hanging="10"/>
        <w:jc w:val="both"/>
      </w:pPr>
      <w:r>
        <w:t xml:space="preserve">*Текст данной программы отражает не содержание ее темы, а приводит алгоритм проведения курсов по вышеназванной теме, которую необходимо знать при проведении аудита. При проведении повышения квалификации аудиторов должны рассматривать</w:t>
      </w:r>
      <w:r>
        <w:t xml:space="preserve">ся все приведенные вопросы по каждому изучаемому акту. Распределение академических часов по отдельным вопросам при обучении по настоящей программе производится образовательным учреждением, проводящим занятия по повышению квалификации аудиторов и руководите</w:t>
      </w:r>
      <w:r>
        <w:t xml:space="preserve">лей аудита брокеров, управляющих, инвестиционных советников, депозитариев, держателей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фондов.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Результат обучения</w:t>
      </w:r>
      <w:r>
        <w:t xml:space="preserve"> </w:t>
      </w:r>
      <w:r/>
    </w:p>
    <w:p>
      <w:pPr>
        <w:ind w:left="10" w:right="-113" w:hanging="10"/>
        <w:jc w:val="both"/>
      </w:pPr>
      <w:r/>
      <w:r/>
    </w:p>
    <w:p>
      <w:pPr>
        <w:ind w:right="-113"/>
        <w:jc w:val="both"/>
      </w:pPr>
      <w:r>
        <w:t xml:space="preserve">Глубокое и детальное понимание норм правового акта, его применения в финансово-хозяйственной деятельности аудируемых лиц и при осуществле</w:t>
      </w:r>
      <w:r>
        <w:t xml:space="preserve">нии аудита брокеров, управляющих, инвестиционных советников, депозитариев, держателей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фондов.  </w:t>
      </w:r>
      <w:r/>
    </w:p>
    <w:p>
      <w:pPr>
        <w:ind w:right="-113"/>
        <w:jc w:val="both"/>
      </w:pPr>
      <w:r/>
      <w:r/>
    </w:p>
    <w:p>
      <w:pPr>
        <w:ind w:left="10" w:right="-113" w:hanging="10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ind w:left="10" w:right="-113" w:hanging="10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6-6-11 «ОРГАНИЗОВАННЫЕ ТОРГИ НА ТОВАРНОМ И ФИНАНСОВЫХ РЫНКАХ, КЛИРИНГОВАЯ ДЕЯТЕЛЬНОСТЬ: ПРАВОВОЕ РЕГУЛИРОВАНИЕ, ОСОБЕННОСТИ ОСУЩЕСТВЛЕНИЯ, АУДИТ (БАЗОВАЯ ПРОГРАММА)» </w:t>
      </w:r>
      <w:r>
        <w:rPr>
          <w:rFonts w:eastAsia="Calibri"/>
          <w:b/>
          <w:lang w:eastAsia="en-US"/>
        </w:rPr>
      </w:r>
    </w:p>
    <w:p>
      <w:pPr>
        <w:ind w:left="10" w:right="-113" w:hanging="10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</w:pPr>
      <w:r>
        <w:rPr>
          <w:b/>
        </w:rPr>
        <w:t xml:space="preserve">Продолжительность обучения </w:t>
      </w:r>
      <w:r>
        <w:t xml:space="preserve">— 40 академических часов.</w:t>
      </w:r>
      <w:r/>
    </w:p>
    <w:p>
      <w:pPr>
        <w:jc w:val="both"/>
      </w:pPr>
      <w:r/>
      <w:r/>
    </w:p>
    <w:p>
      <w:pPr>
        <w:jc w:val="both"/>
      </w:pPr>
      <w:r>
        <w:rPr>
          <w:b/>
        </w:rPr>
        <w:t xml:space="preserve">Цель программы </w:t>
      </w:r>
      <w:r>
        <w:t xml:space="preserve">— получение и систематизация знаний, выработка отдельных навыков, совершенствование пр</w:t>
      </w:r>
      <w:r>
        <w:t xml:space="preserve">офессиональных компетенций аудиторов, аудиторов и руководителей аудита (включая аудиторов, претендующих на назначение руководителем аудита) организатора торговли, клиринговой организации, относящихся к общественно значимым организациям на финансовом рынке.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  <w:bCs/>
        </w:rPr>
        <w:t xml:space="preserve">Тема </w:t>
      </w:r>
      <w:r>
        <w:rPr>
          <w:b/>
          <w:bCs/>
        </w:rPr>
        <w:t xml:space="preserve">1. </w:t>
      </w:r>
      <w:r>
        <w:rPr>
          <w:b/>
        </w:rPr>
        <w:t xml:space="preserve">Активы, обращающихся на организованных торгах. Листинг ценных бумаг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Биржевые товары (инструменты) и порядок их допуска к торгам.</w:t>
      </w:r>
      <w:r/>
    </w:p>
    <w:p>
      <w:pPr>
        <w:jc w:val="both"/>
      </w:pPr>
      <w:r>
        <w:t xml:space="preserve">Фондовый рынок. Виды сделок (спот, </w:t>
      </w:r>
      <w:r>
        <w:t xml:space="preserve">репо</w:t>
      </w:r>
      <w:r>
        <w:t xml:space="preserve">, маржинальные сделки).</w:t>
      </w:r>
      <w:r/>
    </w:p>
    <w:p>
      <w:pPr>
        <w:jc w:val="both"/>
      </w:pPr>
      <w:r>
        <w:t xml:space="preserve">Срочный рынок. Ключевые отличия биржевой и внебиржевой торговли.</w:t>
      </w:r>
      <w:r/>
    </w:p>
    <w:p>
      <w:pPr>
        <w:jc w:val="both"/>
      </w:pPr>
      <w:r>
        <w:t xml:space="preserve">Денежный рынок. Инструменты денежного рынка.</w:t>
      </w:r>
      <w:r/>
    </w:p>
    <w:p>
      <w:pPr>
        <w:jc w:val="both"/>
      </w:pPr>
      <w:r>
        <w:t xml:space="preserve">Валютный рынок. Инструменты валютного рынка.</w:t>
      </w:r>
      <w:r/>
    </w:p>
    <w:p>
      <w:pPr>
        <w:jc w:val="both"/>
      </w:pPr>
      <w:r>
        <w:t xml:space="preserve">Листинг (делистинг) ценных бумаг. Котировальные списки ценных бумаг. Требования Банка России по допуску ценных бумаг к организованным торгам.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2. Механизмы осуществления биржевых сделок на рынке ценных бумаг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Структура биржевой сделки. Заключение сделки. Виды аукционов, типы заявок, подаваемых в ходе торгов. Определение взаимных обязательств и требований. Виды клиринга. Исполнение сделки.</w:t>
      </w:r>
      <w:r/>
    </w:p>
    <w:p>
      <w:pPr>
        <w:jc w:val="both"/>
      </w:pPr>
      <w:r>
        <w:t xml:space="preserve">Функции организатора торговли (биржи), расчетного депозитария, расчетной организации, клиринговой организации. Рассмотрение примеров осуществления биржевых сделок c участием ПАО Московская биржа, НКО АО НРД, НКО НКЦ (АО).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3. Правовое регулирование организатора торговли и организованных торгов на финансовом рынке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Понятия «организатор торговли», «биржа», «торговая система».</w:t>
      </w:r>
      <w:r/>
    </w:p>
    <w:p>
      <w:pPr>
        <w:jc w:val="both"/>
      </w:pPr>
      <w:r>
        <w:t xml:space="preserve">Ограничения по совмещению деятельности по организации торгов с иными видами деятельности.</w:t>
      </w:r>
      <w:r/>
    </w:p>
    <w:p>
      <w:pPr>
        <w:jc w:val="both"/>
      </w:pPr>
      <w:r>
        <w:t xml:space="preserve">Полномочия Банка России по регулированию и надзору за осуществлением деятельности по проведению организованных торгов.</w:t>
      </w:r>
      <w:r/>
    </w:p>
    <w:p>
      <w:pPr>
        <w:jc w:val="both"/>
      </w:pPr>
      <w:r>
        <w:t xml:space="preserve">Требования к размеру и составу собственных средств организатора торговли, а также к порядку и срокам их расчета.</w:t>
      </w:r>
      <w:r/>
    </w:p>
    <w:p>
      <w:pPr>
        <w:jc w:val="both"/>
      </w:pPr>
      <w:r>
        <w:t xml:space="preserve">Требования</w:t>
      </w:r>
      <w:r>
        <w:t xml:space="preserve"> Банка России к порядку проведения организованных торгов, ведению реестра участников торгов и их клиентов, реестра заявок и реестра договоров, заключенных на организованных торгах, требования к порядку и срокам предоставления выписок из указанных реестров.</w:t>
      </w:r>
      <w:r/>
    </w:p>
    <w:p>
      <w:pPr>
        <w:jc w:val="both"/>
        <w:widowControl w:val="off"/>
      </w:pPr>
      <w:r>
        <w:t xml:space="preserve">Обязательные нормативы для организатора торговли (биржи), установленные Банком России.</w:t>
      </w:r>
      <w:r/>
    </w:p>
    <w:p>
      <w:pPr>
        <w:jc w:val="both"/>
      </w:pPr>
      <w:r>
        <w:t xml:space="preserve">Раскрытие информации организатором торговли.</w:t>
      </w:r>
      <w:r/>
    </w:p>
    <w:p>
      <w:pPr>
        <w:jc w:val="both"/>
      </w:pPr>
      <w:r/>
      <w:r/>
    </w:p>
    <w:p>
      <w:pPr>
        <w:jc w:val="both"/>
        <w:widowControl w:val="off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4. Клиринговая деятельность: правовые основы и регулирование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Сущность клиринговой деятельности и основные понятия («индивидуальное клиринговое обеспечение», «коллективное клиринговое обеспечение», «клиринговый пул», «</w:t>
      </w:r>
      <w:r>
        <w:t xml:space="preserve">неттинг</w:t>
      </w:r>
      <w:r>
        <w:t xml:space="preserve">» и др.)</w:t>
      </w:r>
      <w:r/>
    </w:p>
    <w:p>
      <w:pPr>
        <w:jc w:val="both"/>
      </w:pPr>
      <w:r>
        <w:t xml:space="preserve">Ограничения на совмещение клиринговой деятельности.</w:t>
      </w:r>
      <w:r/>
    </w:p>
    <w:p>
      <w:pPr>
        <w:jc w:val="both"/>
      </w:pPr>
      <w:r>
        <w:t xml:space="preserve">Требования к размеру и составу собственных средств клиринговой организации.</w:t>
      </w:r>
      <w:r/>
    </w:p>
    <w:p>
      <w:pPr>
        <w:jc w:val="both"/>
      </w:pPr>
      <w:r>
        <w:t xml:space="preserve">Требования Банка России к осущ</w:t>
      </w:r>
      <w:r>
        <w:t xml:space="preserve">ествлению клиринговой деятельности: порядок осуществления клиринга, регистрация клиринговой организацией участников клиринга и иных лиц, клиринговое обеспечение, внутренний учет в клиринговой организации, отчеты, требования к порядку и хранению информации.</w:t>
      </w:r>
      <w:r/>
    </w:p>
    <w:p>
      <w:pPr>
        <w:jc w:val="both"/>
        <w:widowControl w:val="off"/>
      </w:pPr>
      <w:r>
        <w:t xml:space="preserve">Обязательные нормативы для клиринговой организации, установленные Банком России.</w:t>
      </w:r>
      <w:r/>
    </w:p>
    <w:p>
      <w:pPr>
        <w:jc w:val="both"/>
        <w:widowControl w:val="off"/>
        <w:rPr>
          <w:bCs/>
        </w:rPr>
      </w:pPr>
      <w:r>
        <w:rPr>
          <w:bCs/>
        </w:rPr>
        <w:t xml:space="preserve">Раскрытие информации клиринговой организацией.</w:t>
      </w:r>
      <w:r>
        <w:rPr>
          <w:bCs/>
        </w:rPr>
      </w:r>
    </w:p>
    <w:p>
      <w:pPr>
        <w:jc w:val="both"/>
        <w:widowControl w:val="off"/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5. Ключевые вопросы осуществления клиринговой деятельности. Центральный контрагент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Cs/>
        </w:rPr>
      </w:pPr>
      <w:r>
        <w:t xml:space="preserve">Права и обязанности клиринговой организации. Участники клиринга и требования к ним. Виды клиринга. Договор об оказании клиринговых услуг. Правила клиринга. Способы обеспечения исполнения обязательств. Особенности инд</w:t>
      </w:r>
      <w:r>
        <w:t xml:space="preserve">ивидуального и коллективного клирингового обеспечения. Торговые и клиринговые счета и порядок условия проведения операций по указанным счетам. Принципы сегрегации и переносимости. Гарантии завершения расчетов по итогам клиринга. Клиринг внебиржевых сделок.</w:t>
      </w:r>
      <w:r>
        <w:rPr>
          <w:bCs/>
        </w:rPr>
        <w:t xml:space="preserve"> Последствия недействительности договора, обязательство по которому допущено к клирингу. Особенности договора хранения имущества, используемого для исполнения и (или) обеспечения исполнения допущенных к клирингу обязательств.</w:t>
      </w:r>
      <w:r>
        <w:rPr>
          <w:bCs/>
        </w:rPr>
      </w:r>
    </w:p>
    <w:p>
      <w:pPr>
        <w:jc w:val="both"/>
      </w:pPr>
      <w:r>
        <w:t xml:space="preserve">Центральный контрагент и его роль в организованных торгах на финансовом рынке.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Тема </w:t>
      </w:r>
      <w:r>
        <w:rPr>
          <w:b/>
          <w:bCs/>
        </w:rPr>
        <w:t xml:space="preserve">6. Особенности корпоративного управления в инфраструктурных организациях финансового рынка — организаторах торговли, клиринговых организациях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</w:pPr>
      <w:r>
        <w:rPr>
          <w:bCs/>
        </w:rPr>
        <w:t xml:space="preserve">Требования к учредителям (участникам). Требования к органам управления и должностным лицам.</w:t>
      </w:r>
      <w:r>
        <w:t xml:space="preserve"> Порядок уведомлений, согласований Банком России изменений в составе </w:t>
      </w:r>
      <w:r>
        <w:t xml:space="preserve">учредителей (участников). Требования и порядок получения/направления предварительного согласия/уведомления Банка России о назначении (избрании) на должность, освобождении от должности. Внутренние документы и реализация механизмов корпоративного управления.</w:t>
      </w:r>
      <w:r/>
    </w:p>
    <w:p>
      <w:pPr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widowControl w:val="off"/>
        <w:rPr>
          <w:b/>
          <w:bCs/>
        </w:rPr>
      </w:pPr>
      <w:r>
        <w:rPr>
          <w:b/>
          <w:bCs/>
        </w:rPr>
        <w:t xml:space="preserve">Тема </w:t>
      </w:r>
      <w:r>
        <w:rPr>
          <w:b/>
          <w:bCs/>
        </w:rPr>
        <w:t xml:space="preserve">7. Внутренний контроль и управление рисками в организаторе торговли, клиринговой организации</w:t>
      </w:r>
      <w:r>
        <w:rPr>
          <w:b/>
          <w:bCs/>
        </w:rPr>
      </w:r>
    </w:p>
    <w:p>
      <w:pPr>
        <w:jc w:val="both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widowControl w:val="off"/>
      </w:pPr>
      <w:r>
        <w:t xml:space="preserve">Особенности внутреннего контроля организатора торговли, клиринговой организаци</w:t>
      </w:r>
      <w:r>
        <w:t xml:space="preserve">и. Требования к контролеру (руководителю службы внутреннего контроля) организатора торговли, клиринговой организации. Требования Банка России к организации внутреннего контроля и правилам внутреннего контроля организатора торговли, клиринговой организации.</w:t>
      </w:r>
      <w:r/>
    </w:p>
    <w:p>
      <w:pPr>
        <w:jc w:val="both"/>
        <w:widowControl w:val="off"/>
      </w:pPr>
      <w:r>
        <w:t xml:space="preserve">Требования к управлению рисками организатора торговли, клиринговой организации. Реализация системы управления рисками в инфраструктурных организациях финансового рынка.</w:t>
      </w:r>
      <w:r/>
    </w:p>
    <w:p>
      <w:pPr>
        <w:jc w:val="both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widowControl w:val="off"/>
        <w:rPr>
          <w:b/>
          <w:bCs/>
        </w:rPr>
      </w:pPr>
      <w:r>
        <w:rPr>
          <w:b/>
          <w:bCs/>
        </w:rPr>
        <w:t xml:space="preserve">Тема </w:t>
      </w:r>
      <w:r>
        <w:rPr>
          <w:b/>
          <w:bCs/>
        </w:rPr>
        <w:t xml:space="preserve">8. Надзор за деятельностью организатора торговли, клиринговой организации</w:t>
      </w:r>
      <w:r>
        <w:rPr>
          <w:b/>
          <w:bCs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</w:pPr>
      <w:r>
        <w:t xml:space="preserve">Принципы надзора </w:t>
      </w:r>
      <w:r>
        <w:t xml:space="preserve">за деятельностью организатора торговли, клиринговой организации. Меры надзорного реагирования, предусмотренные к организатору торговли, клиринговой организации. Организация и проведение инспекционных проверок организатора торговли, клиринговой организации.</w:t>
      </w:r>
      <w:r/>
    </w:p>
    <w:p>
      <w:pPr>
        <w:jc w:val="both"/>
        <w:widowControl w:val="off"/>
      </w:pPr>
      <w:r>
        <w:t xml:space="preserve">Отчетность организатора торговли, клиринговой организации, предоставляемая в Банк России в порядке надзора: виды, состав, формы, сроки предоставления.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9. Особенности бухгалтерского учета организатора торговли, клиринговой организации, расчетного депозитария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</w:pPr>
      <w:r>
        <w:t xml:space="preserve">Бухгалтерский учет организатора торговли. Особенности учета комиссионных доходов.</w:t>
      </w:r>
      <w:r/>
    </w:p>
    <w:p>
      <w:pPr>
        <w:jc w:val="both"/>
        <w:widowControl w:val="off"/>
      </w:pPr>
      <w:r>
        <w:t xml:space="preserve">Бухгалтерский учет клиринговой организации. Учет собственных и клиринговых сделок. Учет финансовых инструментов. Учет комиссионного дохода от клиринговой деятельности.</w:t>
      </w:r>
      <w:r/>
    </w:p>
    <w:p>
      <w:pPr>
        <w:jc w:val="both"/>
        <w:widowControl w:val="off"/>
      </w:pPr>
      <w:r>
        <w:t xml:space="preserve">Бухгалтерский учет расчетного депозитария. Учет ценных бумаг. Учет комиссионного дохода от депозитарных операций.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10. Особенности аудита организаторов торговли, клиринговых организаций, расчетных депозитариев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</w:pPr>
      <w:r>
        <w:t xml:space="preserve">Аудит балансовых статей организатора торговли, клиринговой организации, расчетного депозитария.</w:t>
      </w:r>
      <w:r/>
    </w:p>
    <w:p>
      <w:pPr>
        <w:jc w:val="both"/>
        <w:widowControl w:val="off"/>
      </w:pPr>
      <w:r>
        <w:t xml:space="preserve">Аудит доходов и расходов организатора торговли, клиринговой организации, расчетного депозитария.</w:t>
      </w:r>
      <w:r/>
    </w:p>
    <w:p>
      <w:pPr>
        <w:jc w:val="both"/>
      </w:pPr>
      <w:r>
        <w:t xml:space="preserve">Анализ и тестирование системы внутреннего контроля организатора торговли, клиринговой организации, расчетного депозитария.</w:t>
      </w:r>
      <w:r/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</w:pPr>
      <w:r>
        <w:t xml:space="preserve">Понимание специфики деятельности по организации торговли и связанной с ней клиринговой деятельности, особенностей правового регулирования, экономической </w:t>
      </w:r>
      <w:r>
        <w:t xml:space="preserve">деятельности, бухгалтерского учета и аудита организатора </w:t>
      </w:r>
      <w:r>
        <w:t xml:space="preserve">торговли, клиринговой организации с учетом требований Банка России и практики аудита, выработка отдельных навыков и совершенствование профессиональных компетенций, способствующих эффективному участию в аудите организатора торговли, клиринговой организации.</w:t>
      </w:r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1141"/>
        <w:ind w:left="0"/>
        <w:rPr>
          <w:rFonts w:ascii="Times New Roman" w:hAnsi="Times New Roman" w:eastAsia="Calibri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Calibri" w:cs="Times New Roman"/>
          <w:b/>
          <w:color w:val="auto"/>
          <w:sz w:val="24"/>
          <w:szCs w:val="24"/>
        </w:rPr>
        <w:t xml:space="preserve">6-6-12 «ОРГАНИЗОВАННЫЕ ТОРГИ НА ТОВАРНОМ И ФИНАНСОВЫХ РЫНКАХ, КЛИРИНГОВАЯ ДЕЯТЕЛЬНОСТЬ: ПРАВОВОЕ РЕГУЛИРОВАНИЕ, ОСОБЕННОСТИ ОСУЩЕСТВЛЕНИЯ, АУДИТ (УГЛУБЛЕННАЯ ПРОГРАММА)»</w:t>
      </w:r>
      <w:r>
        <w:rPr>
          <w:rFonts w:ascii="Times New Roman" w:hAnsi="Times New Roman" w:eastAsia="Calibri" w:cs="Times New Roman"/>
          <w:b/>
          <w:color w:val="auto"/>
          <w:sz w:val="24"/>
          <w:szCs w:val="24"/>
        </w:rPr>
      </w:r>
    </w:p>
    <w:p>
      <w:pPr>
        <w:jc w:val="both"/>
        <w:widowControl w:val="off"/>
      </w:pPr>
      <w:r>
        <w:rPr>
          <w:b/>
        </w:rPr>
        <w:t xml:space="preserve">Продолжительность обучения</w:t>
      </w:r>
      <w:r>
        <w:t xml:space="preserve"> — 40 академических часов.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</w:pPr>
      <w:r>
        <w:rPr>
          <w:b/>
        </w:rPr>
        <w:t xml:space="preserve">Цель программы</w:t>
      </w:r>
      <w:r>
        <w:t xml:space="preserve"> — углубление знаний, развитие отдельных навыков, совершенствование пр</w:t>
      </w:r>
      <w:r>
        <w:t xml:space="preserve">офессиональных компетенций аудиторов, аудиторов и руководителей аудита (включая аудиторов, претендующих на назначение руководителем аудита) организатора торговли, клиринговой организации, относящихся к общественно значимым организациям на финансовом рынке.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1. Изменения в нормативно-правовом регулировании организованных торгов, клиринговой деятельности: обзор и анализ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</w:pPr>
      <w:r>
        <w:t xml:space="preserve">Организованные торги и организатор торговли (биржа, торговая система).</w:t>
      </w:r>
      <w:r/>
    </w:p>
    <w:p>
      <w:pPr>
        <w:jc w:val="both"/>
        <w:widowControl w:val="off"/>
      </w:pPr>
      <w:r>
        <w:t xml:space="preserve">Клиринговая деятельность и клиринговые организации, расчетные организации, расчетные депозитарии.</w:t>
      </w:r>
      <w:r/>
    </w:p>
    <w:p>
      <w:pPr>
        <w:jc w:val="both"/>
        <w:widowControl w:val="off"/>
      </w:pPr>
      <w:r>
        <w:t xml:space="preserve">Законодательство Российской Федерации о рынке ценных бумаг, акционерных обществах, инвестиционных фондах, иное федеральное законодательство, существенное для деятельности по организации торгов, клиринговой деятельности на финансовом рынке.</w:t>
      </w:r>
      <w:r/>
    </w:p>
    <w:p>
      <w:pPr>
        <w:jc w:val="both"/>
        <w:widowControl w:val="off"/>
      </w:pPr>
      <w:r>
        <w:t xml:space="preserve">Законодательство Российской Федерации, существенное для деятельности по организации торгов, клиринговой деятельности на товарном рынке.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2. Деятельность организатора торговли (биржи) и организованные торги на рынке ценных бумаг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Биржевая сессия. Режимы торгов. </w:t>
      </w:r>
      <w:r>
        <w:rPr>
          <w:rFonts w:eastAsia="Calibri"/>
          <w:iCs/>
        </w:rPr>
        <w:t xml:space="preserve">Приостановление и прекращение организованных торгов.</w:t>
      </w:r>
      <w:r/>
    </w:p>
    <w:p>
      <w:pPr>
        <w:jc w:val="both"/>
      </w:pPr>
      <w:r>
        <w:t xml:space="preserve">Индексы и иные показатели, рассчитываемые организатором торговли.</w:t>
      </w:r>
      <w:r/>
    </w:p>
    <w:p>
      <w:pPr>
        <w:jc w:val="both"/>
        <w:widowControl w:val="off"/>
      </w:pPr>
      <w:r>
        <w:t xml:space="preserve">Виды биржевых сделок. Длинные, короткие сделки. Расчетные и поставочные сделки, кассовые и срочные сделки. Маржинальные сделки.</w:t>
      </w:r>
      <w:r/>
    </w:p>
    <w:p>
      <w:pPr>
        <w:jc w:val="both"/>
        <w:widowControl w:val="off"/>
      </w:pPr>
      <w:r>
        <w:t xml:space="preserve">Способы заключения сделок с ценными бумагами. Традиционные и альтернативные торговые системы. Аукцион и дилерский рынок. Виды аукционов.</w:t>
      </w:r>
      <w:r/>
    </w:p>
    <w:p>
      <w:pPr>
        <w:jc w:val="both"/>
        <w:widowControl w:val="off"/>
      </w:pPr>
      <w:r>
        <w:t xml:space="preserve">Системы индикативных цен (котировок).</w:t>
      </w:r>
      <w:r/>
    </w:p>
    <w:p>
      <w:pPr>
        <w:jc w:val="both"/>
        <w:widowControl w:val="off"/>
      </w:pPr>
      <w:r>
        <w:t xml:space="preserve">Маркет-</w:t>
      </w:r>
      <w:r>
        <w:t xml:space="preserve">мейкеры</w:t>
      </w:r>
      <w:r>
        <w:t xml:space="preserve"> и их роль на организованных торгах.</w:t>
      </w:r>
      <w:r/>
    </w:p>
    <w:p>
      <w:pPr>
        <w:jc w:val="both"/>
        <w:widowControl w:val="off"/>
      </w:pPr>
      <w:r>
        <w:t xml:space="preserve">Арбитражеры, хеджеры, спекулянты. Виды арбитража.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3. Осуществление клиринга и расчетов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rFonts w:eastAsia="MS Mincho"/>
        </w:rPr>
      </w:pPr>
      <w:r>
        <w:rPr>
          <w:rFonts w:eastAsia="MS Mincho"/>
          <w:bCs/>
        </w:rPr>
        <w:t xml:space="preserve">Клиринговое обеспечение, назначение и способы его внесения.</w:t>
      </w:r>
      <w:r>
        <w:rPr>
          <w:rFonts w:eastAsia="MS Mincho"/>
        </w:rPr>
      </w:r>
    </w:p>
    <w:p>
      <w:pPr>
        <w:jc w:val="both"/>
        <w:rPr>
          <w:rFonts w:eastAsia="MS Mincho"/>
        </w:rPr>
      </w:pPr>
      <w:r>
        <w:rPr>
          <w:rFonts w:eastAsia="MS Mincho"/>
          <w:bCs/>
        </w:rPr>
        <w:t xml:space="preserve">Лимиты на заключение сделок.</w:t>
      </w:r>
      <w:r>
        <w:rPr>
          <w:rFonts w:eastAsia="MS Mincho"/>
        </w:rPr>
      </w:r>
    </w:p>
    <w:p>
      <w:pPr>
        <w:jc w:val="both"/>
        <w:rPr>
          <w:rFonts w:eastAsia="MS Mincho"/>
        </w:rPr>
      </w:pPr>
      <w:r>
        <w:t xml:space="preserve">Внутренний учет в клиринговой организации. Использование клиринговых регистров для учета обеспечения, лимитов и расчетов по итогам клиринга.</w:t>
      </w:r>
      <w:r>
        <w:rPr>
          <w:rFonts w:eastAsia="MS Mincho"/>
        </w:rPr>
      </w:r>
    </w:p>
    <w:p>
      <w:pPr>
        <w:jc w:val="both"/>
        <w:widowControl w:val="off"/>
      </w:pPr>
      <w:r>
        <w:t xml:space="preserve">Внутренний учет в расчетном депозитарии и в расчетной организации. Использование торговых и клиринговых счетов для учета обеспечения и расчетов по итогам клиринга.</w:t>
      </w:r>
      <w:r/>
    </w:p>
    <w:p>
      <w:pPr>
        <w:jc w:val="both"/>
        <w:widowControl w:val="off"/>
      </w:pPr>
      <w:r>
        <w:t xml:space="preserve">Особенности клиринговой деятельности кредитных организаций, центральных контрагентов.</w:t>
      </w:r>
      <w:r/>
    </w:p>
    <w:p>
      <w:pPr>
        <w:jc w:val="both"/>
        <w:widowControl w:val="off"/>
      </w:pPr>
      <w:r>
        <w:t xml:space="preserve">Особенности клиринга на товарных рынках.</w:t>
      </w:r>
      <w:r/>
    </w:p>
    <w:p>
      <w:pPr>
        <w:jc w:val="both"/>
        <w:widowControl w:val="off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4. Противодействие неправомерному использованию инсайдерской информации и манипулированию рынком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</w:pPr>
      <w:r>
        <w:t xml:space="preserve">Цель противодействия неправомерному использованию инсайдерской информац</w:t>
      </w:r>
      <w:r>
        <w:t xml:space="preserve">ии и манипулированию рынком. Сфера регулирования и основные понятия законодательства в области противодействия неправомерному использованию инсайдерской информации и манипулированию рынком. Порядок и сроки раскрытия или предоставления инсайдерской информац</w:t>
      </w:r>
      <w:r>
        <w:t xml:space="preserve">ии. Требования по ведению и передаче списка инсайдеров. Ограничения на использование инсайдерской информации и манипулирование рынком, а также последствия использования указанных недобросовестных практик поведения. Меры по предотвращению, выявлению и пресе</w:t>
      </w:r>
      <w:r>
        <w:t xml:space="preserve">чению неправомерного использования инсайдерской информации и манипулирования рынком, которые обязаны осуществлять инсайдеры. Функции и полномочия Банка России по противодействию неправомерному использованию инсайдерской информации и манипулированию рынком.</w:t>
      </w:r>
      <w:r/>
    </w:p>
    <w:p>
      <w:pPr>
        <w:jc w:val="both"/>
        <w:widowControl w:val="off"/>
      </w:pPr>
      <w:r>
        <w:t xml:space="preserve">Организация внутреннего контроля в целях противодействия неправомерного использования инсайдерской информации и манипулирования рынком.</w:t>
      </w:r>
      <w:r/>
    </w:p>
    <w:p>
      <w:pPr>
        <w:jc w:val="both"/>
        <w:widowControl w:val="off"/>
      </w:pPr>
      <w:r>
        <w:t xml:space="preserve">Особенности деятельности организатора торговли по выявлению фактов манипулирования на организованных торгах.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5. Новации в бухгалтерском учете, финансовой отчетности, влияющие на ведение бухгалтерского учета, составление финансовой отчетности организатора торговли, клиринговой организации, расчетного депозитария: обзор и анализ изменений, рассмотрение примеров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</w:pPr>
      <w:r>
        <w:t xml:space="preserve">Стандарты бухгалтерского учета для небанковских кредитных организаций, используемые клиринговой организацией и расчетным депозитарием.</w:t>
      </w:r>
      <w:r/>
    </w:p>
    <w:p>
      <w:pPr>
        <w:jc w:val="both"/>
        <w:widowControl w:val="off"/>
      </w:pPr>
      <w:r>
        <w:t xml:space="preserve">ОСБУ Банка России для </w:t>
      </w:r>
      <w:r>
        <w:t xml:space="preserve">некредитных</w:t>
      </w:r>
      <w:r>
        <w:t xml:space="preserve"> финансовых организаций, применяемые организатором торговли, клиринговой организацией.</w:t>
      </w:r>
      <w:r/>
    </w:p>
    <w:p>
      <w:pPr>
        <w:jc w:val="both"/>
        <w:widowControl w:val="off"/>
      </w:pPr>
      <w:r>
        <w:t xml:space="preserve">МСФО.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  <w:rPr>
          <w:b/>
        </w:rPr>
      </w:pPr>
      <w:r>
        <w:rPr>
          <w:b/>
        </w:rPr>
        <w:t xml:space="preserve">Тема </w:t>
      </w:r>
      <w:r>
        <w:rPr>
          <w:b/>
        </w:rPr>
        <w:t xml:space="preserve">6. Актуальные вопросы аудита организатора торговли, клиринговой организации, расчетного депозитария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</w:pPr>
      <w:r>
        <w:t xml:space="preserve">Требования, рекомендации, разъяснения, обзоры Минфина России, Банка России.</w:t>
      </w:r>
      <w:r/>
    </w:p>
    <w:p>
      <w:pPr>
        <w:jc w:val="both"/>
        <w:widowControl w:val="off"/>
      </w:pPr>
      <w:r>
        <w:t xml:space="preserve">Аудит бухгалтерской (финансовой) отчетности.</w:t>
      </w:r>
      <w:r/>
    </w:p>
    <w:p>
      <w:pPr>
        <w:jc w:val="both"/>
        <w:widowControl w:val="off"/>
      </w:pPr>
      <w:r>
        <w:t xml:space="preserve">Особенности аудита консолидированной финансовой отчетности.</w:t>
      </w:r>
      <w:r/>
    </w:p>
    <w:p>
      <w:pPr>
        <w:jc w:val="both"/>
        <w:widowControl w:val="off"/>
      </w:pPr>
      <w:r/>
      <w:r/>
    </w:p>
    <w:p>
      <w:pPr>
        <w:jc w:val="both"/>
        <w:widowControl w:val="off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widowControl w:val="off"/>
        <w:rPr>
          <w:bCs/>
        </w:rPr>
      </w:pPr>
      <w:r>
        <w:t xml:space="preserve">Глубокое понимание специфики деятельности по организации торговли и связанной с ней клиринговой деятельности, новаций правового регулирования, экономической деятельности, бухгалтерского учета, финансовой отчетности и аудита организатора</w:t>
      </w:r>
      <w:r>
        <w:t xml:space="preserve"> торговли, клиринговой организации с учетом требований Банка России и практики аудита, развитие отдельных навыков и совершенствование профессиональных компетенций, способствующих эффективному участию в аудите организатора торговли, клиринговой организации.</w:t>
      </w:r>
      <w:r>
        <w:rPr>
          <w:bCs/>
        </w:rPr>
      </w:r>
    </w:p>
    <w:p>
      <w:pPr>
        <w:ind w:left="567"/>
        <w:jc w:val="both"/>
      </w:pPr>
      <w:r/>
      <w:r/>
    </w:p>
    <w:p>
      <w:pPr>
        <w:ind w:left="567"/>
        <w:jc w:val="both"/>
      </w:pPr>
      <w:r/>
      <w:r/>
    </w:p>
    <w:p>
      <w:pPr>
        <w:jc w:val="both"/>
        <w:rPr>
          <w:b/>
          <w:bCs/>
        </w:rPr>
      </w:pPr>
      <w:r/>
      <w:bookmarkStart w:id="7" w:name="профучастников"/>
      <w:r>
        <w:rPr>
          <w:b/>
          <w:bCs/>
        </w:rPr>
        <w:t xml:space="preserve">6-6-13 «АКТУАЛЬНЫЕ ТРЕБОВАНИЯ И ЛУЧШИЕ ПРАКТИКИ АУДИТА ФИНАНСОВОЙ ОТЧЕТНОСТИ ПРОФЕССИОНАЛЬНЫХ УЧАСТНИКОВ РЫНКА ЦЕННЫХ БУМАГ: РЕГУЛЯТОРНЫЕ ИЗМЕНЕНИЯ, НОВЫЕ ФИНАНСОВЫЕ ИНСТРУМЕНТЫ И СОВРЕМЕННЫЕ ТЕХНОЛОГИИ» 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bookmarkEnd w:id="7"/>
      <w:r>
        <w:rPr>
          <w:b/>
          <w:bCs/>
        </w:rPr>
      </w:r>
    </w:p>
    <w:p>
      <w:pPr>
        <w:jc w:val="both"/>
        <w:rPr>
          <w:bCs/>
        </w:rPr>
      </w:pPr>
      <w:r>
        <w:rPr>
          <w:b/>
        </w:rPr>
        <w:t xml:space="preserve">Продолжительность обучения</w:t>
      </w:r>
      <w:r>
        <w:rPr>
          <w:bCs/>
        </w:rPr>
        <w:t xml:space="preserve"> – 16 академических часов.</w:t>
      </w:r>
      <w:r>
        <w:rPr>
          <w:bCs/>
        </w:rPr>
      </w:r>
    </w:p>
    <w:p>
      <w:pPr>
        <w:jc w:val="both"/>
      </w:pPr>
      <w:r>
        <w:rPr>
          <w:b/>
        </w:rPr>
        <w:t xml:space="preserve">Цель программы</w:t>
      </w:r>
      <w:r>
        <w:rPr>
          <w:bCs/>
        </w:rPr>
        <w:t xml:space="preserve"> - </w:t>
      </w:r>
      <w:r>
        <w:t xml:space="preserve">сформировать у руководителей аудиторских заданий актуальные знания и навыки применения международных стандартов финансовой отчетности (МСФО), международных стандартов аудита (МСА), требований нормативных актов регуляторов и законодател</w:t>
      </w:r>
      <w:r>
        <w:t xml:space="preserve">ьства РФ для повышения качества анализа финансовой отчетности профессиональных участников рынка ценных бумаг, планирования и выполнения аудиторских процедур, а также обеспечения соответствия профессиональной деятельности изменениям регуляторных требований.</w:t>
      </w:r>
      <w:r/>
    </w:p>
    <w:p>
      <w:pPr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jc w:val="both"/>
        <w:rPr>
          <w:b/>
        </w:rPr>
      </w:pPr>
      <w:r>
        <w:rPr>
          <w:b/>
        </w:rPr>
        <w:t xml:space="preserve">Тема 1. Регуляторные изменения в отношении финансовой отчетности профессиональных участников рынка ценных бумаг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Последние изменения в нормативных актах Банка России.</w:t>
      </w:r>
      <w:r/>
    </w:p>
    <w:p>
      <w:pPr>
        <w:jc w:val="both"/>
      </w:pPr>
      <w:r>
        <w:t xml:space="preserve">Требования к раскрытию информации в финансовой отчетности.</w:t>
      </w:r>
      <w:r/>
    </w:p>
    <w:p>
      <w:pPr>
        <w:jc w:val="both"/>
      </w:pPr>
      <w:r>
        <w:t xml:space="preserve">Новые МСФО. Актуальные вопросы применения.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2. Применение МСА к аудиту финансовой отчетности профессиональных участников рынка ценных бумаг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Формулировки аудиторского заключения в случае применения к заданию МСА 600 (пересмотренный) «Особенности аудита финансовой отчетности группы (включая работу аудиторов компонентов)» (МСА 600 (п)). </w:t>
      </w:r>
      <w:r/>
    </w:p>
    <w:p>
      <w:pPr>
        <w:jc w:val="both"/>
      </w:pPr>
      <w:r>
        <w:t xml:space="preserve">Поправки к МСА 700 (пересмотренный) «Формирование мнения и составление заключения о финансовой отчетности» (МСА 700 (п)) - заявление о независимости аудитора по отношению к общественно значимой организации (ОЗО).</w:t>
      </w:r>
      <w:r/>
    </w:p>
    <w:p>
      <w:pPr>
        <w:jc w:val="both"/>
      </w:pPr>
      <w:r>
        <w:t xml:space="preserve">МСА 570 (пересмотренный) «Непрерывность деятельности» (МСА 570 (п)) - влияние на аудиторское заключение. </w:t>
      </w:r>
      <w:r/>
    </w:p>
    <w:p>
      <w:pPr>
        <w:jc w:val="both"/>
      </w:pPr>
      <w:r>
        <w:t xml:space="preserve">Заключения в отношении финансовой информации компонента для целей аудита (обзорной проверки) группы. 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3. Справедливая стоимость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Требования по оценке различных активов и обязательств. </w:t>
      </w:r>
      <w:r/>
    </w:p>
    <w:p>
      <w:pPr>
        <w:jc w:val="both"/>
      </w:pPr>
      <w:r>
        <w:t xml:space="preserve">Уровни иерархии в текущих рыночных условиях. </w:t>
      </w:r>
      <w:r/>
    </w:p>
    <w:p>
      <w:pPr>
        <w:jc w:val="both"/>
      </w:pPr>
      <w:r>
        <w:t xml:space="preserve">Требования к раскрытию информации о справедливой стоимости в финансовой отчетности профессиональных участников рынка ценных бумаг. Недочеты при раскрытии информации о справедливой стоимости. </w:t>
      </w:r>
      <w:r/>
    </w:p>
    <w:p>
      <w:pPr>
        <w:jc w:val="both"/>
      </w:pPr>
      <w:r>
        <w:t xml:space="preserve">Определение справедливой стоимости производных финансовых инструментов.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4. Цифровые финансовые активы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Определение цифровых финансовых активов (ЦФА). </w:t>
      </w:r>
      <w:r/>
    </w:p>
    <w:p>
      <w:pPr>
        <w:jc w:val="both"/>
      </w:pPr>
      <w:r>
        <w:t xml:space="preserve">Схема торговли ЦФА. Преимущества торговли ЦФА относительно классического фондового рынка. </w:t>
      </w:r>
      <w:r/>
    </w:p>
    <w:p>
      <w:pPr>
        <w:jc w:val="both"/>
        <w:rPr>
          <w:bCs/>
        </w:rPr>
      </w:pPr>
      <w:r>
        <w:t xml:space="preserve">Отражение ЦФА в финансовой отчетности по МСФО профессиональных участников рынка ценных бумаг. </w:t>
      </w:r>
      <w:r>
        <w:rPr>
          <w:bCs/>
        </w:rPr>
      </w:r>
    </w:p>
    <w:p>
      <w:pPr>
        <w:jc w:val="both"/>
      </w:pPr>
      <w:r>
        <w:t xml:space="preserve">Цифровые валюты.</w:t>
      </w:r>
      <w:r/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5. Технологии в аудите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Обзор основных изменений в информационных системах и приложениях, используемых в аудиторских заданиях.</w:t>
      </w:r>
      <w:r/>
    </w:p>
    <w:p>
      <w:pPr>
        <w:jc w:val="both"/>
      </w:pPr>
      <w:r>
        <w:t xml:space="preserve">Практика применения искусственного интеллекта (ИИ) в аудите финансовой отчетности профессиональных участников рынка ценных бумаг. </w:t>
      </w:r>
      <w:r/>
    </w:p>
    <w:p>
      <w:pPr>
        <w:jc w:val="both"/>
      </w:pPr>
      <w:r>
        <w:t xml:space="preserve">Преимущества и риски использования технологий для выполнения аудиторского задания.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Тема 6. Возможные изменения в аудиторской документации и в подходах проведения аудиторских процедур</w:t>
      </w:r>
      <w:r>
        <w:rPr>
          <w:b/>
        </w:rPr>
      </w:r>
    </w:p>
    <w:p>
      <w:pPr>
        <w:jc w:val="both"/>
      </w:pPr>
      <w:r/>
      <w:r/>
    </w:p>
    <w:p>
      <w:pPr>
        <w:jc w:val="both"/>
      </w:pPr>
      <w:r>
        <w:t xml:space="preserve">Примеры изменений в аудиторской документации, на основе анализа актуальных вопросов, выявленных в ходе выполнения аудиторских заданий текущего года.</w:t>
      </w:r>
      <w:r/>
    </w:p>
    <w:p>
      <w:pPr>
        <w:jc w:val="both"/>
      </w:pPr>
      <w:r>
        <w:t xml:space="preserve">Изменение подхода к документированию работы в отношении нестандартных ситуаций, непрерывности деятельности, процедур планирования, выполнения и завершения аудиторских заданий. </w:t>
      </w:r>
      <w:r/>
    </w:p>
    <w:p>
      <w:pPr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1141"/>
        <w:numPr>
          <w:ilvl w:val="0"/>
          <w:numId w:val="176"/>
        </w:numPr>
        <w:ind w:left="0" w:firstLine="0"/>
        <w:spacing w:after="0" w:line="259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Управление аудитом в соответствии с актуальными требованиями: способность планировать, проводить и документировать аудит, применяя новые стандарты, с учетом последних изменений в нормативных актах и современных рыночных условиях.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pStyle w:val="1141"/>
        <w:numPr>
          <w:ilvl w:val="0"/>
          <w:numId w:val="176"/>
        </w:numPr>
        <w:ind w:left="0" w:firstLine="0"/>
        <w:spacing w:after="0" w:line="259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Анал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итический обзор и оценка рисков: навык глубинного анализа финансовой отчетности для выявления аномалий, взаимосвязей и скрытых рисков, их влияния на аудит, а также для проведения эффективных аналитических процедур через сравнение с отраслевыми нормативами.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pStyle w:val="1141"/>
        <w:numPr>
          <w:ilvl w:val="0"/>
          <w:numId w:val="176"/>
        </w:numPr>
        <w:ind w:left="0" w:firstLine="0"/>
        <w:spacing w:after="0" w:line="259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Оптимизация процессов и контроль качества: способность координировать работу команды, оптимизировать аудиторские процедуры с использованием современных инструментов и обеспечивать высокое качество проверок через систематизацию заданий и обмен опытом.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  <w:r>
        <w:rPr>
          <w:color w:val="ff0000"/>
          <w:sz w:val="28"/>
          <w:szCs w:val="28"/>
        </w:rPr>
      </w:r>
    </w:p>
    <w:p>
      <w:pPr>
        <w:pStyle w:val="1166"/>
        <w:jc w:val="center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</w:r>
      <w:r>
        <w:rPr>
          <w:rFonts w:eastAsia="Times New Roman"/>
          <w:color w:val="auto"/>
          <w:sz w:val="28"/>
          <w:szCs w:val="28"/>
          <w:lang w:eastAsia="ru-RU"/>
        </w:rPr>
      </w:r>
    </w:p>
    <w:p>
      <w:pPr>
        <w:pStyle w:val="1166"/>
        <w:jc w:val="center"/>
        <w:rPr>
          <w:b/>
          <w:bCs/>
          <w:color w:val="auto"/>
          <w:sz w:val="28"/>
          <w:szCs w:val="28"/>
          <w:u w:val="single"/>
        </w:rPr>
      </w:pPr>
      <w:r>
        <w:rPr>
          <w:b/>
          <w:bCs/>
          <w:color w:val="auto"/>
          <w:sz w:val="28"/>
          <w:szCs w:val="28"/>
          <w:u w:val="single"/>
        </w:rPr>
        <w:t xml:space="preserve">Раздел 7. Программы повышения квалификации по тематике экономической деятельности: головные организации банковских холдингов</w:t>
      </w:r>
      <w:r>
        <w:rPr>
          <w:b/>
          <w:bCs/>
          <w:color w:val="auto"/>
          <w:sz w:val="28"/>
          <w:szCs w:val="28"/>
          <w:u w:val="single"/>
        </w:rPr>
      </w:r>
    </w:p>
    <w:p>
      <w:pPr>
        <w:pStyle w:val="1166"/>
        <w:jc w:val="center"/>
        <w:rPr>
          <w:b/>
          <w:bCs/>
          <w:color w:val="auto"/>
          <w:sz w:val="28"/>
          <w:szCs w:val="28"/>
          <w:u w:val="single"/>
        </w:rPr>
      </w:pPr>
      <w:r>
        <w:rPr>
          <w:b/>
          <w:bCs/>
          <w:color w:val="auto"/>
          <w:sz w:val="28"/>
          <w:szCs w:val="28"/>
          <w:u w:val="single"/>
        </w:rPr>
      </w:r>
      <w:r>
        <w:rPr>
          <w:b/>
          <w:bCs/>
          <w:color w:val="auto"/>
          <w:sz w:val="28"/>
          <w:szCs w:val="28"/>
          <w:u w:val="single"/>
        </w:rPr>
      </w:r>
    </w:p>
    <w:p>
      <w:pPr>
        <w:pStyle w:val="1166"/>
        <w:jc w:val="center"/>
        <w:rPr>
          <w:b/>
          <w:bCs/>
          <w:color w:val="auto"/>
          <w:sz w:val="28"/>
          <w:szCs w:val="28"/>
          <w:u w:val="single"/>
        </w:rPr>
      </w:pPr>
      <w:r>
        <w:rPr>
          <w:b/>
          <w:bCs/>
          <w:color w:val="auto"/>
          <w:sz w:val="28"/>
          <w:szCs w:val="28"/>
          <w:u w:val="single"/>
        </w:rPr>
      </w:r>
      <w:r>
        <w:rPr>
          <w:b/>
          <w:bCs/>
          <w:color w:val="auto"/>
          <w:sz w:val="28"/>
          <w:szCs w:val="28"/>
          <w:u w:val="single"/>
        </w:rPr>
      </w:r>
    </w:p>
    <w:p>
      <w:pPr>
        <w:ind w:left="24" w:hanging="10"/>
        <w:jc w:val="both"/>
      </w:pPr>
      <w:r>
        <w:rPr>
          <w:b/>
        </w:rPr>
        <w:t xml:space="preserve">6-7-01 «КОНСОЛИДАЦИЯ ФИНАНСОВОЙ ОТЧЕТНОСТИ В СООТВЕТСТВИИ С МСФО. ПРАКТИКА ПРИМЕНЕНИЯ НА ПК» </w:t>
      </w:r>
      <w:r>
        <w:t xml:space="preserve"> </w:t>
      </w:r>
      <w:r/>
    </w:p>
    <w:p>
      <w:pPr>
        <w:ind w:left="24" w:hanging="10"/>
        <w:jc w:val="both"/>
      </w:pPr>
      <w:r/>
      <w:r/>
    </w:p>
    <w:p>
      <w:pPr>
        <w:ind w:left="10" w:hanging="10"/>
        <w:jc w:val="both"/>
      </w:pPr>
      <w:r>
        <w:rPr>
          <w:b/>
        </w:rPr>
        <w:t xml:space="preserve">Продолжительность обучения</w:t>
      </w:r>
      <w:r>
        <w:t xml:space="preserve"> - 20 академических часов.  </w:t>
      </w:r>
      <w:r/>
    </w:p>
    <w:p>
      <w:pPr>
        <w:ind w:left="10" w:hanging="10"/>
        <w:jc w:val="both"/>
      </w:pPr>
      <w:r/>
      <w:r/>
    </w:p>
    <w:p>
      <w:pPr>
        <w:ind w:left="10" w:hanging="10"/>
        <w:jc w:val="both"/>
        <w:rPr>
          <w:b/>
        </w:rPr>
      </w:pPr>
      <w:r>
        <w:rPr>
          <w:b/>
        </w:rPr>
        <w:t xml:space="preserve">Тема 1. Основные требования и определения МСФО, относящиеся к консолидированной финансовой отчетности</w:t>
      </w:r>
      <w:r>
        <w:rPr>
          <w:b/>
        </w:rPr>
      </w:r>
    </w:p>
    <w:p>
      <w:pPr>
        <w:ind w:left="10" w:hanging="10"/>
        <w:jc w:val="both"/>
      </w:pPr>
      <w:r/>
      <w:r/>
    </w:p>
    <w:p>
      <w:pPr>
        <w:ind w:firstLine="426"/>
        <w:jc w:val="both"/>
      </w:pPr>
      <w:r>
        <w:t xml:space="preserve">Стандарты, относящиеся к консолидированной финансовой отчетности. IFRS 10 «</w:t>
      </w:r>
      <w:r>
        <w:rPr>
          <w:rFonts w:eastAsiaTheme="minorHAnsi"/>
          <w:lang w:eastAsia="en-US"/>
        </w:rPr>
        <w:t xml:space="preserve">Консолидированная финансовая отчетность», </w:t>
      </w:r>
      <w:r>
        <w:t xml:space="preserve">IFRS 3 «Объединение бизнеса». IAS 27 «</w:t>
      </w:r>
      <w:r>
        <w:rPr>
          <w:lang w:val="az-Cyrl-AZ"/>
        </w:rPr>
        <w:t xml:space="preserve">О</w:t>
      </w:r>
      <w:r>
        <w:t xml:space="preserve">тдельная</w:t>
      </w:r>
      <w:r>
        <w:t xml:space="preserve"> финансовая </w:t>
      </w:r>
      <w:r>
        <w:t xml:space="preserve">отчетность». IAS 28 «Инвестиции в ассоциированные предприятия». IAS 31 «Участие в совместном предпринимательстве». IFRS 11 «Совместное предпринимательство». IFRS 12 «Раскрытие информации об участии в других предприятиях». IFRS 1 «Первое применение МСФО».  </w:t>
      </w:r>
      <w:r/>
    </w:p>
    <w:p>
      <w:pPr>
        <w:ind w:left="14" w:firstLine="412"/>
        <w:jc w:val="both"/>
      </w:pPr>
      <w:r>
        <w:t xml:space="preserve">Состав учетной политики для консолидированной отчетности.  Несовпадение даты окончания отчетного периода.  </w:t>
      </w:r>
      <w:r/>
    </w:p>
    <w:p>
      <w:pPr>
        <w:ind w:left="451"/>
        <w:jc w:val="both"/>
      </w:pPr>
      <w:r>
        <w:t xml:space="preserve">  </w:t>
      </w:r>
      <w:r/>
    </w:p>
    <w:p>
      <w:pPr>
        <w:ind w:left="10" w:hanging="10"/>
        <w:jc w:val="both"/>
      </w:pPr>
      <w:r>
        <w:rPr>
          <w:b/>
        </w:rPr>
        <w:t xml:space="preserve">Тема 2. Методика составления консолидированной бухгалтерской отчетности</w:t>
      </w:r>
      <w:r/>
    </w:p>
    <w:p>
      <w:pPr>
        <w:jc w:val="both"/>
      </w:pPr>
      <w:r/>
      <w:r/>
    </w:p>
    <w:p>
      <w:pPr>
        <w:ind w:left="10" w:hanging="10"/>
        <w:jc w:val="both"/>
      </w:pPr>
      <w:r>
        <w:t xml:space="preserve">Состав консолидированной бухгалтерской отчетности.  </w:t>
      </w:r>
      <w:r/>
    </w:p>
    <w:p>
      <w:pPr>
        <w:ind w:left="14" w:firstLine="425"/>
        <w:jc w:val="both"/>
      </w:pPr>
      <w:r>
        <w:t xml:space="preserve">Периметр консолидации. Определение состава группы: понятие дочерних и ассоциированных компаний.  Определение доли владения.  </w:t>
      </w:r>
      <w:r/>
    </w:p>
    <w:p>
      <w:pPr>
        <w:ind w:left="14" w:firstLine="425"/>
        <w:jc w:val="both"/>
      </w:pPr>
      <w:r>
        <w:t xml:space="preserve">Порядок формирования консолидационных таблиц на основании данных российского бухгалтерского учета. Состав консолидационных таблиц.  </w:t>
      </w:r>
      <w:r/>
    </w:p>
    <w:p>
      <w:pPr>
        <w:ind w:left="14" w:firstLine="425"/>
        <w:jc w:val="both"/>
      </w:pPr>
      <w:r>
        <w:t xml:space="preserve">Проведение консолидационных поправок и </w:t>
      </w:r>
      <w:r>
        <w:t xml:space="preserve">реклассификаций</w:t>
      </w:r>
      <w:r>
        <w:t xml:space="preserve">: элиминирование внутригрупповых оборотов (в т.ч.: вну</w:t>
      </w:r>
      <w:r>
        <w:t xml:space="preserve">тригрупповая дебиторская и кредиторская задолженность, выручка, себестоимость, дивиденды, займы, выданные внутри группы, проценты, финансовые вложения и пр.) Учет операций по реализации активов предприятиям группы, элиминирование внутригрупповой прибыли.  </w:t>
      </w:r>
      <w:r/>
    </w:p>
    <w:p>
      <w:pPr>
        <w:ind w:left="14" w:firstLine="425"/>
        <w:jc w:val="both"/>
      </w:pPr>
      <w:r>
        <w:t xml:space="preserve">Расчет гудвилла, порядок учета финансовых вложений в дочерние компании. обесценение гудвилла.  </w:t>
      </w:r>
      <w:r/>
    </w:p>
    <w:p>
      <w:pPr>
        <w:ind w:left="14" w:firstLine="425"/>
        <w:jc w:val="both"/>
      </w:pPr>
      <w:r>
        <w:t xml:space="preserve">Учет финансовых вложений в ассоциированные компании. Учет совместно контролируемых компаний, операций.  </w:t>
      </w:r>
      <w:r/>
    </w:p>
    <w:p>
      <w:pPr>
        <w:ind w:left="14" w:firstLine="425"/>
        <w:jc w:val="both"/>
      </w:pPr>
      <w:r>
        <w:t xml:space="preserve">Составление консолидированн</w:t>
      </w:r>
      <w:r>
        <w:t xml:space="preserve">ого отчета о финансовом положении. Консолидированный отчет о совокупном доходе, об изменениях в капитале. Составление консолидированного отчета о движении денежных средств. Порядок формирования и состав примечаний в пояснениях к бухгалтерской отчетности.  </w:t>
      </w:r>
      <w:r/>
    </w:p>
    <w:p>
      <w:pPr>
        <w:ind w:left="451"/>
        <w:jc w:val="both"/>
      </w:pPr>
      <w:r>
        <w:t xml:space="preserve">  </w:t>
      </w:r>
      <w:r/>
    </w:p>
    <w:p>
      <w:pPr>
        <w:ind w:left="10" w:hanging="10"/>
        <w:jc w:val="both"/>
      </w:pPr>
      <w:r>
        <w:rPr>
          <w:b/>
        </w:rPr>
        <w:t xml:space="preserve">Тема 3. Учет изменений в составе группы (выбытие дочерних предприятий, объединение бизнеса) </w:t>
      </w:r>
      <w:r>
        <w:t xml:space="preserve"> </w:t>
      </w:r>
      <w:r/>
    </w:p>
    <w:p>
      <w:pPr>
        <w:ind w:left="10" w:firstLine="429"/>
        <w:jc w:val="both"/>
      </w:pPr>
      <w:r/>
      <w:r/>
    </w:p>
    <w:p>
      <w:pPr>
        <w:ind w:left="14" w:firstLine="425"/>
        <w:jc w:val="both"/>
      </w:pPr>
      <w:r>
        <w:t xml:space="preserve">Операции по объединению бизнеса (учет </w:t>
      </w:r>
      <w:r>
        <w:rPr>
          <w:lang w:val="az-Cyrl-AZ"/>
        </w:rPr>
        <w:t xml:space="preserve">покупки</w:t>
      </w:r>
      <w:r>
        <w:t xml:space="preserve"> дочерних предприятий</w:t>
      </w:r>
      <w:r>
        <w:rPr>
          <w:lang w:val="az-Cyrl-AZ"/>
        </w:rPr>
        <w:t xml:space="preserve"> и неконтролируемых долей участия</w:t>
      </w:r>
      <w:r>
        <w:t xml:space="preserve">). Распределение суммы затрат по объединению бизнеса на приобретенные активы и признанные </w:t>
      </w:r>
      <w:r>
        <w:rPr>
          <w:lang w:val="az-Cyrl-AZ"/>
        </w:rPr>
        <w:t xml:space="preserve">и</w:t>
      </w:r>
      <w:r>
        <w:t xml:space="preserve">дентифицируемые</w:t>
      </w:r>
      <w:r>
        <w:t xml:space="preserve"> нематериальные активы.  </w:t>
      </w:r>
      <w:r/>
    </w:p>
    <w:p>
      <w:pPr>
        <w:ind w:left="14" w:firstLine="425"/>
        <w:jc w:val="both"/>
      </w:pPr>
      <w:r>
        <w:t xml:space="preserve">Порядок отражен</w:t>
      </w:r>
      <w:r>
        <w:t xml:space="preserve">ия выбытия дочерних предприятий: понятие прекращенной деятельности, активов, предназначенных для продажи. Учет изменения статуса дочернего предприятия и переход его в состав ассоциированных компаний, приобретение и продажи неконтролируемых долей участия.  </w:t>
      </w:r>
      <w:r/>
    </w:p>
    <w:p>
      <w:pPr>
        <w:ind w:left="14" w:firstLine="425"/>
        <w:jc w:val="both"/>
      </w:pPr>
      <w:r>
        <w:t xml:space="preserve">Учет иностранных дочерних предприятий. </w:t>
      </w:r>
      <w:r/>
    </w:p>
    <w:p>
      <w:pPr>
        <w:ind w:left="14" w:firstLine="425"/>
        <w:jc w:val="both"/>
      </w:pPr>
      <w:r>
        <w:t xml:space="preserve">Пошаговые операции приобретения и выбытия.</w:t>
      </w:r>
      <w:r/>
    </w:p>
    <w:p>
      <w:pPr>
        <w:ind w:left="14" w:firstLine="425"/>
        <w:jc w:val="both"/>
      </w:pPr>
      <w:r/>
      <w:r/>
    </w:p>
    <w:p>
      <w:pPr>
        <w:ind w:right="-113"/>
        <w:jc w:val="both"/>
      </w:pPr>
      <w:r/>
      <w:r/>
    </w:p>
    <w:p>
      <w:pPr>
        <w:ind w:left="24" w:right="-113" w:hanging="10"/>
        <w:jc w:val="both"/>
      </w:pPr>
      <w:r>
        <w:rPr>
          <w:b/>
        </w:rPr>
        <w:t xml:space="preserve">6-7-02 «МСФО: ФИНАНСОВЫЕ ИНСТРУМЕНТЫ И ОПЕРАЦИИ С АКЦИОНЕРНЫМ КАПИТАЛОМ»</w:t>
      </w:r>
      <w:r/>
    </w:p>
    <w:p>
      <w:pPr>
        <w:ind w:left="29" w:right="-113"/>
        <w:jc w:val="both"/>
      </w:pPr>
      <w:r/>
      <w:r/>
    </w:p>
    <w:p>
      <w:pPr>
        <w:ind w:left="24" w:right="-113" w:hanging="10"/>
        <w:jc w:val="both"/>
      </w:pPr>
      <w:r>
        <w:rPr>
          <w:b/>
        </w:rPr>
        <w:t xml:space="preserve">Продолжительность</w:t>
      </w:r>
      <w:r>
        <w:t xml:space="preserve"> </w:t>
      </w:r>
      <w:r>
        <w:rPr>
          <w:b/>
        </w:rPr>
        <w:t xml:space="preserve">обучения</w:t>
      </w:r>
      <w:r>
        <w:t xml:space="preserve"> — 20 академических часов.</w:t>
      </w:r>
      <w:r/>
    </w:p>
    <w:p>
      <w:pPr>
        <w:ind w:left="24" w:right="-113" w:hanging="10"/>
        <w:jc w:val="both"/>
      </w:pPr>
      <w:r/>
      <w:r/>
    </w:p>
    <w:p>
      <w:pPr>
        <w:ind w:left="24" w:right="-113" w:hanging="10"/>
        <w:jc w:val="both"/>
      </w:pPr>
      <w:r>
        <w:rPr>
          <w:b/>
        </w:rPr>
        <w:t xml:space="preserve">Цель программы </w:t>
      </w:r>
      <w:r>
        <w:t xml:space="preserve">— углубление знаний и навыков аудиторов в области учета финансовых инструментов в соответствии с требованиями МСФО (IFRS) 9 «Финансовые инструменты», МСФО (</w:t>
      </w:r>
      <w:r>
        <w:rPr>
          <w:lang w:val="en-US"/>
        </w:rPr>
        <w:t xml:space="preserve">IAS</w:t>
      </w:r>
      <w:r>
        <w:t xml:space="preserve">) 32 «Финансовые инструменты: представление» и другими применимыми МСФО при проведении аудита консолидированной финансовой отчетности.</w:t>
      </w:r>
      <w:r/>
    </w:p>
    <w:p>
      <w:pPr>
        <w:ind w:left="24" w:right="-113" w:hanging="10"/>
        <w:jc w:val="both"/>
      </w:pPr>
      <w:r/>
      <w:r/>
    </w:p>
    <w:p>
      <w:pPr>
        <w:ind w:right="-113"/>
        <w:jc w:val="both"/>
      </w:pPr>
      <w:r>
        <w:rPr>
          <w:b/>
        </w:rPr>
        <w:t xml:space="preserve">Тема 1. Понятие, виды и классификация финансовых инструментов</w:t>
      </w:r>
      <w:r/>
    </w:p>
    <w:p>
      <w:pPr>
        <w:ind w:left="24" w:right="-113" w:hanging="10"/>
        <w:jc w:val="both"/>
      </w:pPr>
      <w:r/>
      <w:r/>
    </w:p>
    <w:p>
      <w:pPr>
        <w:ind w:left="14" w:right="-113"/>
        <w:jc w:val="both"/>
      </w:pPr>
      <w:r>
        <w:t xml:space="preserve">Определение финансового инструментов, финансовых активов и обязательств. Договоры на приобретение нефинансовых активов. Исполнение контрактов на нетто-основе.</w:t>
      </w:r>
      <w:r/>
    </w:p>
    <w:p>
      <w:pPr>
        <w:ind w:left="14" w:right="-113"/>
        <w:jc w:val="both"/>
      </w:pPr>
      <w:r>
        <w:t xml:space="preserve">Базо</w:t>
      </w:r>
      <w:r>
        <w:t xml:space="preserve">вые и производные финансовые инструменты. Определение производных финансовых инструментов. Виды производных финансовых инструментов: форварды, фьючерсы, опционы, свопы. Составные (комбинированные) финансовые инструменты. Встроенные производные инструменты.</w:t>
      </w:r>
      <w:r/>
    </w:p>
    <w:p>
      <w:pPr>
        <w:ind w:left="14" w:right="-113"/>
        <w:jc w:val="both"/>
      </w:pPr>
      <w:r>
        <w:t xml:space="preserve">Концептуальные и практические различия капитала и обязательства.</w:t>
      </w:r>
      <w:r/>
    </w:p>
    <w:p>
      <w:pPr>
        <w:ind w:left="14" w:right="-113"/>
        <w:jc w:val="both"/>
      </w:pPr>
      <w:r>
        <w:t xml:space="preserve">Долевые и долговые финансовые инструменты.</w:t>
      </w:r>
      <w:r/>
    </w:p>
    <w:p>
      <w:pPr>
        <w:ind w:left="14" w:right="-113"/>
        <w:jc w:val="both"/>
      </w:pPr>
      <w:r>
        <w:t xml:space="preserve">Категории и классы финансовых активов и финансовых обязательств.</w:t>
      </w:r>
      <w:r/>
    </w:p>
    <w:p>
      <w:pPr>
        <w:ind w:left="14" w:right="-113"/>
        <w:jc w:val="both"/>
      </w:pPr>
      <w:r>
        <w:t xml:space="preserve">Подходы, применяемые для классификации финансовых активов и финансовых обязательств.</w:t>
      </w:r>
      <w:r/>
    </w:p>
    <w:p>
      <w:pPr>
        <w:ind w:left="14" w:right="-113"/>
        <w:jc w:val="both"/>
      </w:pPr>
      <w:r>
        <w:t xml:space="preserve">Использование характеристики денежных потоков и бизнес-модели в качестве основы для классификации финансовых активов.</w:t>
      </w:r>
      <w:r/>
    </w:p>
    <w:p>
      <w:pPr>
        <w:ind w:left="14" w:right="-113"/>
        <w:jc w:val="both"/>
      </w:pPr>
      <w:r>
        <w:t xml:space="preserve">Реклассификация</w:t>
      </w:r>
      <w:r>
        <w:t xml:space="preserve"> финансовых активов.</w:t>
      </w:r>
      <w:r/>
    </w:p>
    <w:p>
      <w:pPr>
        <w:ind w:left="14" w:right="-113"/>
        <w:jc w:val="both"/>
      </w:pPr>
      <w:r>
        <w:t xml:space="preserve">Финансовые гарантии.</w:t>
      </w:r>
      <w:r/>
    </w:p>
    <w:p>
      <w:pPr>
        <w:ind w:left="14" w:right="-113"/>
        <w:jc w:val="both"/>
      </w:pPr>
      <w:r>
        <w:t xml:space="preserve">Обязательство по предоставлению займа (кредитная линия).</w:t>
      </w:r>
      <w:r/>
    </w:p>
    <w:p>
      <w:pPr>
        <w:ind w:right="-113"/>
        <w:jc w:val="both"/>
      </w:pPr>
      <w:r/>
      <w:r/>
    </w:p>
    <w:p>
      <w:pPr>
        <w:ind w:left="24" w:right="-113" w:hanging="10"/>
        <w:jc w:val="both"/>
      </w:pPr>
      <w:r>
        <w:rPr>
          <w:b/>
        </w:rPr>
        <w:t xml:space="preserve">Тема 2. Операции с собственными долевыми инструментами</w:t>
      </w:r>
      <w:r/>
    </w:p>
    <w:p>
      <w:pPr>
        <w:ind w:left="24" w:right="-113" w:hanging="10"/>
        <w:jc w:val="both"/>
      </w:pPr>
      <w:r/>
      <w:r/>
    </w:p>
    <w:p>
      <w:pPr>
        <w:ind w:left="14" w:right="-113"/>
        <w:jc w:val="both"/>
      </w:pPr>
      <w:r>
        <w:t xml:space="preserve">Собственный капитал: определение, структура.</w:t>
      </w:r>
      <w:r/>
    </w:p>
    <w:p>
      <w:pPr>
        <w:ind w:left="14" w:right="-113"/>
        <w:jc w:val="both"/>
      </w:pPr>
      <w:r>
        <w:t xml:space="preserve">Акция — единица акц</w:t>
      </w:r>
      <w:r>
        <w:t xml:space="preserve">ионерного капитала; различные виды стоимости: номинальная, балансовая, рыночная, цена размещения. Различные типы акций. Обыкновенные и привилегированные акции. Выпуск акций по цене выше номинала. Отражение в отчетности расходов, связанных с эмиссией акций.</w:t>
      </w:r>
      <w:r/>
    </w:p>
    <w:p>
      <w:pPr>
        <w:ind w:left="14" w:right="-113"/>
        <w:jc w:val="both"/>
      </w:pPr>
      <w:r>
        <w:t xml:space="preserve">Собственные акции, выкупленные у акционеров. Методы отражения собственных выкупленных акций в учете и отчетности.</w:t>
      </w:r>
      <w:r/>
    </w:p>
    <w:p>
      <w:pPr>
        <w:ind w:left="14" w:right="-113"/>
        <w:jc w:val="both"/>
      </w:pPr>
      <w:r>
        <w:t xml:space="preserve">Увеличение акционерного капитала за счет собственных средств, за счет привлеченных источников.</w:t>
      </w:r>
      <w:r/>
    </w:p>
    <w:p>
      <w:pPr>
        <w:ind w:left="14" w:right="-113"/>
        <w:jc w:val="both"/>
      </w:pPr>
      <w:r>
        <w:t xml:space="preserve">Уменьшение акционерного капитала.</w:t>
      </w:r>
      <w:r/>
    </w:p>
    <w:p>
      <w:pPr>
        <w:ind w:left="14" w:right="-113"/>
        <w:jc w:val="both"/>
      </w:pPr>
      <w:r>
        <w:t xml:space="preserve">Дивиденды: распределение активов собственникам в денежной и неденежной форме. Требования МСФО к раскрытию информации о капитале.</w:t>
      </w:r>
      <w:r/>
    </w:p>
    <w:p>
      <w:pPr>
        <w:ind w:left="10" w:right="-113" w:hanging="1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10" w:right="-113" w:hanging="10"/>
        <w:jc w:val="both"/>
      </w:pPr>
      <w:r>
        <w:rPr>
          <w:b/>
        </w:rPr>
        <w:t xml:space="preserve">Тема 3. Оценка финансовых инструментов</w:t>
      </w:r>
      <w:r/>
    </w:p>
    <w:p>
      <w:pPr>
        <w:ind w:right="-113"/>
        <w:jc w:val="both"/>
      </w:pPr>
      <w:r/>
      <w:r/>
    </w:p>
    <w:p>
      <w:pPr>
        <w:ind w:right="-113"/>
        <w:jc w:val="both"/>
      </w:pPr>
      <w:r>
        <w:t xml:space="preserve">Первоначальная оценка. Наблюдаемые и ненаблюдаемые данные. Затраты по сделке. Последующая оценка. Оценка по амортизированной стоимости. Оценка по справедливой стоимости </w:t>
      </w:r>
      <w:r>
        <w:rPr>
          <w:rFonts w:eastAsia="Tahoma"/>
        </w:rPr>
        <w:t xml:space="preserve">через прочий совокупный доход и через прибыль или убыток</w:t>
      </w:r>
      <w:r>
        <w:t xml:space="preserve">.</w:t>
      </w:r>
      <w:r/>
    </w:p>
    <w:p>
      <w:pPr>
        <w:ind w:right="-113"/>
        <w:jc w:val="both"/>
      </w:pPr>
      <w:r>
        <w:t xml:space="preserve">Модель ожидаемых кредитных убытков. Стадии кредитного обесценения финансовых активов. Оценка значительности увеличения кредитного риска с даты первоначального признания. Признаки кредитного обесценения финансовых активов.</w:t>
      </w:r>
      <w:r/>
    </w:p>
    <w:p>
      <w:pPr>
        <w:ind w:left="14" w:right="-113"/>
        <w:jc w:val="both"/>
      </w:pPr>
      <w:r>
        <w:t xml:space="preserve">Создание оценочного резерва под ожидаемые кредитные убытки по финансовым активам, оцени</w:t>
      </w:r>
      <w:r>
        <w:t xml:space="preserve">ваемым по амортизированной стоимости и оцениваемым по справедливой стоимости через прочий совокупный доход, финансовым гарантиям и обязательствам по предоставлению займов (кредитным линиям). Восстановление оценочного резерва под ожидаемые кредитные убытки.</w:t>
      </w:r>
      <w:r/>
    </w:p>
    <w:p>
      <w:pPr>
        <w:ind w:left="14" w:right="-113"/>
        <w:jc w:val="both"/>
      </w:pPr>
      <w:r>
        <w:t xml:space="preserve">Порядок начисления процентов по кредитно-обесцененным финансовым активам.</w:t>
      </w:r>
      <w:r/>
    </w:p>
    <w:p>
      <w:pPr>
        <w:ind w:left="14" w:right="-113"/>
        <w:jc w:val="both"/>
      </w:pPr>
      <w:r/>
      <w:r/>
    </w:p>
    <w:p>
      <w:pPr>
        <w:ind w:left="10" w:right="-113" w:hanging="10"/>
        <w:jc w:val="both"/>
        <w:rPr>
          <w:b/>
        </w:rPr>
      </w:pPr>
      <w:r>
        <w:rPr>
          <w:b/>
        </w:rPr>
        <w:t xml:space="preserve">Тема 4. Финансовые инструменты: признание и прекращение признания, существенная и несущественная модификация, сделки </w:t>
      </w:r>
      <w:r>
        <w:rPr>
          <w:b/>
        </w:rPr>
        <w:t xml:space="preserve">репо</w:t>
      </w:r>
      <w:r>
        <w:rPr>
          <w:b/>
        </w:rPr>
        <w:t xml:space="preserve"> и факторинга</w:t>
      </w:r>
      <w:r>
        <w:rPr>
          <w:b/>
        </w:rPr>
      </w:r>
    </w:p>
    <w:p>
      <w:pPr>
        <w:ind w:left="10" w:right="-113" w:hanging="10"/>
        <w:jc w:val="both"/>
      </w:pPr>
      <w:r/>
      <w:r/>
    </w:p>
    <w:p>
      <w:pPr>
        <w:ind w:left="14" w:right="-113"/>
        <w:jc w:val="both"/>
      </w:pPr>
      <w:r>
        <w:t xml:space="preserve">Критерии признания финансовых активов и финансовых обязательств. Прекращение признания финансовых активов и финансовых обязательств. Существенная и несущественная модификация финансовых активов и финансовых обязательств. Сделки </w:t>
      </w:r>
      <w:r>
        <w:t xml:space="preserve">репо</w:t>
      </w:r>
      <w:r>
        <w:t xml:space="preserve"> и факторинга. </w:t>
      </w:r>
      <w:r/>
    </w:p>
    <w:p>
      <w:pPr>
        <w:ind w:left="14" w:right="-113"/>
        <w:jc w:val="both"/>
      </w:pPr>
      <w:r>
        <w:t xml:space="preserve">Соглашения о финансировании поставщика» (обратный факторинг).</w:t>
      </w:r>
      <w:r/>
    </w:p>
    <w:p>
      <w:pPr>
        <w:ind w:left="10" w:right="-113" w:hanging="1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10" w:right="-113" w:hanging="10"/>
        <w:jc w:val="both"/>
        <w:rPr>
          <w:b/>
        </w:rPr>
      </w:pPr>
      <w:r>
        <w:rPr>
          <w:b/>
        </w:rPr>
        <w:t xml:space="preserve">Тема 5. Хеджирование</w:t>
      </w:r>
      <w:r>
        <w:rPr>
          <w:b/>
        </w:rPr>
      </w:r>
    </w:p>
    <w:p>
      <w:pPr>
        <w:ind w:left="10" w:right="-113" w:hanging="1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14" w:right="-113"/>
        <w:jc w:val="both"/>
      </w:pPr>
      <w:r>
        <w:t xml:space="preserve">Экономическое и бухгалтерское хеджирование.</w:t>
      </w:r>
      <w:r/>
    </w:p>
    <w:p>
      <w:pPr>
        <w:ind w:left="14" w:right="-113"/>
        <w:jc w:val="both"/>
      </w:pPr>
      <w:r>
        <w:t xml:space="preserve">Объект хеджирования и инструмент хеджирования. Виды хеджирования.</w:t>
      </w:r>
      <w:r/>
    </w:p>
    <w:p>
      <w:pPr>
        <w:ind w:right="-113"/>
        <w:jc w:val="both"/>
      </w:pPr>
      <w:r>
        <w:t xml:space="preserve">Условия, выполнение которых необходимо для осуществления учета хеджирования. Начало и прекращение учета хеджирования.</w:t>
      </w:r>
      <w:r/>
    </w:p>
    <w:p>
      <w:pPr>
        <w:ind w:right="-113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Тема 6. Представление и раскрытие информации о финансовых инструментах в отчетности </w:t>
      </w:r>
      <w:r/>
    </w:p>
    <w:p>
      <w:pPr>
        <w:ind w:left="10" w:right="-113" w:hanging="10"/>
        <w:jc w:val="both"/>
      </w:pPr>
      <w:r/>
      <w:r/>
    </w:p>
    <w:p>
      <w:pPr>
        <w:ind w:left="14" w:right="-113"/>
        <w:jc w:val="both"/>
      </w:pPr>
      <w:r>
        <w:t xml:space="preserve">Общие требования к раскрытию информации. Описание учетной политики.</w:t>
      </w:r>
      <w:r/>
    </w:p>
    <w:p>
      <w:pPr>
        <w:ind w:left="14" w:right="-113"/>
        <w:jc w:val="both"/>
      </w:pPr>
      <w:r>
        <w:t xml:space="preserve">Представление информации о балансовой стоимости финансовых активов и финансовых обязательств.</w:t>
      </w:r>
      <w:r/>
    </w:p>
    <w:p>
      <w:pPr>
        <w:ind w:left="14" w:right="-113"/>
        <w:jc w:val="both"/>
      </w:pPr>
      <w:r>
        <w:t xml:space="preserve">Представление информации о начисленных процентах, дивидендах, прибылях и убытках от операций с финансовыми инструментами.</w:t>
      </w:r>
      <w:r/>
    </w:p>
    <w:p>
      <w:pPr>
        <w:ind w:left="14" w:right="-113"/>
        <w:jc w:val="both"/>
      </w:pPr>
      <w:r>
        <w:t xml:space="preserve">Раскрытие оценочного резерва под ожидаемые кредитные убытки.</w:t>
      </w:r>
      <w:r/>
    </w:p>
    <w:p>
      <w:pPr>
        <w:ind w:left="14" w:right="-113"/>
        <w:jc w:val="both"/>
      </w:pPr>
      <w:r>
        <w:t xml:space="preserve">Дополнительные раскрытия при взаимозачете финансовых активов и обязательств.</w:t>
      </w:r>
      <w:r/>
    </w:p>
    <w:p>
      <w:pPr>
        <w:ind w:left="14" w:right="-113"/>
        <w:jc w:val="both"/>
      </w:pPr>
      <w:r>
        <w:t xml:space="preserve">Специальные раскрытия при </w:t>
      </w:r>
      <w:r>
        <w:t xml:space="preserve">реклассификации</w:t>
      </w:r>
      <w:r>
        <w:t xml:space="preserve"> финансовых активов.</w:t>
      </w:r>
      <w:r/>
    </w:p>
    <w:p>
      <w:pPr>
        <w:ind w:left="14" w:right="-113"/>
        <w:jc w:val="both"/>
      </w:pPr>
      <w:r>
        <w:t xml:space="preserve">Раскрытие учета хеджирования.</w:t>
      </w:r>
      <w:r/>
    </w:p>
    <w:p>
      <w:pPr>
        <w:ind w:left="14" w:right="-113"/>
        <w:jc w:val="both"/>
      </w:pPr>
      <w:r>
        <w:t xml:space="preserve">Раскрытие справедливой стоимости финансовых активов и финансовых обязательств.</w:t>
      </w:r>
      <w:r/>
    </w:p>
    <w:p>
      <w:pPr>
        <w:ind w:left="14" w:right="-113"/>
        <w:jc w:val="both"/>
      </w:pPr>
      <w:r>
        <w:t xml:space="preserve">Характер и степень рисков, возникающих в связи с финансовыми инструментами: риск ликвидности, кредитный риск, рыночный риск.</w:t>
      </w:r>
      <w:r/>
    </w:p>
    <w:p>
      <w:pPr>
        <w:ind w:left="14" w:right="-113"/>
        <w:jc w:val="both"/>
      </w:pPr>
      <w:r>
        <w:t xml:space="preserve">Прочие раскрытия. </w:t>
      </w:r>
      <w:r/>
    </w:p>
    <w:p>
      <w:pPr>
        <w:ind w:left="14" w:right="-113"/>
        <w:jc w:val="both"/>
      </w:pPr>
      <w:r/>
      <w:r/>
    </w:p>
    <w:p>
      <w:pPr>
        <w:ind w:left="24" w:right="-113" w:hanging="10"/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left="24" w:right="-113" w:hanging="1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24" w:right="-113" w:hanging="10"/>
        <w:jc w:val="both"/>
      </w:pPr>
      <w:r>
        <w:t xml:space="preserve">Расширение знаний и навыков аудиторов в области учета финансовых инструментов, необходимых для аудита консолидированной отчетности организаций, осуществляющих операции с финансовыми инструментами.</w:t>
      </w:r>
      <w:r/>
    </w:p>
    <w:p>
      <w:pPr>
        <w:ind w:left="24" w:right="-113" w:hanging="10"/>
        <w:jc w:val="both"/>
      </w:pPr>
      <w:r/>
      <w:r/>
    </w:p>
    <w:p>
      <w:pPr>
        <w:ind w:left="24" w:right="-113" w:hanging="10"/>
        <w:jc w:val="both"/>
      </w:pPr>
      <w:r/>
      <w:r/>
    </w:p>
    <w:p>
      <w:pPr>
        <w:ind w:left="24" w:right="-113" w:hanging="10"/>
        <w:jc w:val="both"/>
        <w:rPr>
          <w:b/>
        </w:rPr>
      </w:pPr>
      <w:r>
        <w:rPr>
          <w:b/>
        </w:rPr>
        <w:t xml:space="preserve">6-7-03 «ПРАКТИКА ПРИМЕНЕНИЯ МСА: АУДИТОРСКИЕ ПРОЦЕДУРЫ В ОТНОШЕНИИ ФИНАНСОВЫХ ИНСТРУМЕНТОВ»</w:t>
      </w:r>
      <w:r>
        <w:rPr>
          <w:b/>
        </w:rPr>
      </w:r>
    </w:p>
    <w:p>
      <w:pPr>
        <w:ind w:left="24" w:right="-113" w:hanging="10"/>
        <w:jc w:val="both"/>
      </w:pPr>
      <w:r/>
      <w:r/>
    </w:p>
    <w:p>
      <w:pPr>
        <w:ind w:left="24" w:right="-113" w:hanging="10"/>
        <w:jc w:val="both"/>
      </w:pPr>
      <w:r>
        <w:rPr>
          <w:b/>
        </w:rPr>
        <w:t xml:space="preserve">Продолжительность обучения</w:t>
      </w:r>
      <w:r>
        <w:t xml:space="preserve"> — 8 академических часов.</w:t>
      </w:r>
      <w:r/>
    </w:p>
    <w:p>
      <w:pPr>
        <w:ind w:left="24" w:right="-113" w:hanging="10"/>
        <w:jc w:val="both"/>
      </w:pPr>
      <w:r/>
      <w:r/>
    </w:p>
    <w:p>
      <w:pPr>
        <w:ind w:left="14" w:right="-113"/>
        <w:jc w:val="both"/>
      </w:pPr>
      <w:r>
        <w:rPr>
          <w:b/>
        </w:rPr>
        <w:t xml:space="preserve">Цель программы</w:t>
      </w:r>
      <w:r>
        <w:t xml:space="preserve"> — формирование навыков применения МСА в практической деятельности аудиторов при отражении в финансовой отчетности аудируемого лица финансовых инструментов.</w:t>
      </w:r>
      <w:r/>
    </w:p>
    <w:p>
      <w:pPr>
        <w:ind w:left="14" w:right="-113"/>
        <w:jc w:val="both"/>
      </w:pPr>
      <w:r/>
      <w:r/>
    </w:p>
    <w:p>
      <w:pPr>
        <w:ind w:left="24" w:right="-113" w:hanging="10"/>
        <w:jc w:val="both"/>
        <w:rPr>
          <w:b/>
        </w:rPr>
      </w:pPr>
      <w:r>
        <w:rPr>
          <w:b/>
        </w:rPr>
        <w:t xml:space="preserve">Тема 1. Финансовые инструменты: определение, цели использования, характерные риски</w:t>
      </w:r>
      <w:r>
        <w:rPr>
          <w:b/>
        </w:rPr>
      </w:r>
    </w:p>
    <w:p>
      <w:pPr>
        <w:ind w:left="24" w:right="-113" w:hanging="10"/>
        <w:jc w:val="both"/>
      </w:pPr>
      <w:r/>
      <w:r/>
    </w:p>
    <w:p>
      <w:pPr>
        <w:ind w:left="14" w:right="-113"/>
        <w:jc w:val="both"/>
      </w:pPr>
      <w:r>
        <w:t xml:space="preserve">Применяемая концепция составления отчетности и определение финансового инструмента. Цели использования финансовых инструментов.</w:t>
      </w:r>
      <w:r/>
    </w:p>
    <w:p>
      <w:pPr>
        <w:ind w:left="14" w:right="-113"/>
        <w:jc w:val="both"/>
      </w:pPr>
      <w:r>
        <w:t xml:space="preserve">Основные виды рисков, характерных для финансовых инструментов.</w:t>
      </w:r>
      <w:r/>
    </w:p>
    <w:p>
      <w:pPr>
        <w:ind w:left="14" w:right="-113"/>
        <w:jc w:val="both"/>
      </w:pPr>
      <w:r/>
      <w:r/>
    </w:p>
    <w:p>
      <w:pPr>
        <w:ind w:left="24" w:right="-113" w:hanging="10"/>
        <w:jc w:val="both"/>
        <w:rPr>
          <w:b/>
        </w:rPr>
      </w:pPr>
      <w:r>
        <w:rPr>
          <w:b/>
        </w:rPr>
        <w:t xml:space="preserve">Тема 2. МСА, рассматривающие вопросы особенностей аудита финансовых инструментов</w:t>
      </w:r>
      <w:r>
        <w:rPr>
          <w:b/>
        </w:rPr>
      </w:r>
    </w:p>
    <w:p>
      <w:pPr>
        <w:ind w:left="24" w:right="-113" w:hanging="10"/>
        <w:jc w:val="both"/>
      </w:pPr>
      <w:r/>
      <w:r/>
    </w:p>
    <w:p>
      <w:pPr>
        <w:ind w:left="14" w:right="-113"/>
        <w:jc w:val="both"/>
      </w:pPr>
      <w:r>
        <w:t xml:space="preserve">Международный отчет о практике аудита (МОПА)</w:t>
      </w:r>
      <w:r>
        <w:t xml:space="preserve"> 1000 «Особенности аудита финансовых инструментов». Профессиональный скептицизм. Вопросы планирования. Понимание требований к бухгалтерскому учету и раскрытию информации. Изучение финансовых инструментов. Привлечение к проведению аудита лиц, обладающих спе</w:t>
      </w:r>
      <w:r>
        <w:t xml:space="preserve">циальными знаниями и навыками. Изучение системы внутреннего контроля. Изучение характера, роли и деятельности функции внутреннего аудита. Оценка рисков существенного искажения и меры, принимаемые в ответ на эти риски. Факторы риска недобросовестных действи</w:t>
      </w:r>
      <w:r>
        <w:t xml:space="preserve">й. Оценка риска существенного искажения. Факторы, которые необходимо учитывать при определении целесообразности и объемов тестирования операционной эффективности средств контроля. Процедуры проверки по существу. Тесты двойного назначения. Сроки проведения </w:t>
      </w:r>
      <w:r>
        <w:t xml:space="preserve">аудиторских процедур. Процедуры, относящиеся к проверке полноты, точности, существования, возникновения, а также прав и обязательств.</w:t>
      </w:r>
      <w:r/>
    </w:p>
    <w:p>
      <w:pPr>
        <w:ind w:left="14" w:right="-113"/>
        <w:jc w:val="both"/>
      </w:pPr>
      <w:r>
        <w:t xml:space="preserve">Оценка финансовых инструментов. Оценка риска существенного искажения, связанного с оценкой. Значительные риски. Разработка</w:t>
      </w:r>
      <w:r>
        <w:t xml:space="preserve"> методологии аудита. Разработка точечной оценки или оценки диапазона. Представление и раскрытие информации о финансовых инструментах. Процедуры, связанные с представлением и раскрытием информации о финансовых инструментах. Прочие важные особенности аудита.</w:t>
      </w:r>
      <w:r/>
    </w:p>
    <w:p>
      <w:pPr>
        <w:ind w:left="14" w:right="-113"/>
        <w:jc w:val="both"/>
      </w:pPr>
      <w:r>
        <w:t xml:space="preserve">Процесс проведения оценки руководством. Изучение методологии, используемой руководством при оценке финансовых инструментов согласно МСА 540 «Аудит оценочных значений», включая оценку справедливой стоимости, и соответствующего раскрытия инфор</w:t>
      </w:r>
      <w:r>
        <w:t xml:space="preserve">мации. Особенности аудита в случае использования руководством внешних источников ценовой информации. Особенности аудита в случае оценки руководством справедливой стоимости с использованием модели. Оценка обоснованности допущений, используемых руководством.</w:t>
      </w:r>
      <w:r/>
    </w:p>
    <w:p>
      <w:pPr>
        <w:ind w:left="14" w:right="-113"/>
        <w:jc w:val="both"/>
      </w:pPr>
      <w:r>
        <w:t xml:space="preserve">Привлечение экспертов согласно МСА 620 «Использование работы эксперта аудитора». Особенности аудита в случае привлечения организацией эксперта.</w:t>
      </w:r>
      <w:r/>
    </w:p>
    <w:p>
      <w:pPr>
        <w:ind w:left="14" w:right="-113"/>
        <w:jc w:val="both"/>
      </w:pPr>
      <w:r/>
      <w:r/>
    </w:p>
    <w:p>
      <w:pPr>
        <w:ind w:right="-113"/>
        <w:jc w:val="both"/>
        <w:rPr>
          <w:b/>
        </w:rPr>
      </w:pPr>
      <w:r>
        <w:rPr>
          <w:b/>
        </w:rPr>
        <w:t xml:space="preserve">Тема 3. Практика проведения аудита финансовых инструментов</w:t>
      </w:r>
      <w:r>
        <w:rPr>
          <w:b/>
        </w:rPr>
      </w:r>
    </w:p>
    <w:p>
      <w:pPr>
        <w:ind w:left="24" w:right="-113" w:hanging="10"/>
        <w:jc w:val="both"/>
      </w:pPr>
      <w:r/>
      <w:r/>
    </w:p>
    <w:p>
      <w:pPr>
        <w:ind w:left="14" w:right="-113"/>
        <w:jc w:val="both"/>
      </w:pPr>
      <w:r>
        <w:t xml:space="preserve">Письменные заявления, получаемые при аудите финансовых инструментов. Информационное взаимодействие с лицами, отвечающими за корпоративное управление и другими лицами. Информационное взаимодействие с регулирующими и прочими органами. С</w:t>
      </w:r>
      <w:r>
        <w:t xml:space="preserve">редства контроля, относящиеся к финансовым инструментам, Оценка их дизайна и операционной эффективности. Практика документирования. Проведение сверок с центральным депозитарием (НРД), реестродержателями, репозитариями и банками. Анализ исходных данных, исп</w:t>
      </w:r>
      <w:r>
        <w:t xml:space="preserve">ользованных для оценки справедливой стоимости финансовых инструментов: наблюдаемые исходные данные 1-го и 2-го уровня, ненаблюдаемые исходные данные. Последствия неактивных рынков. Анализ допущений, использованных в моделях оценки справедливой стоимости фи</w:t>
      </w:r>
      <w:r>
        <w:t xml:space="preserve">нансовых инструментов. Качественная и количественная валидация модели создания оценочного резерва под ожидаемые кредитные убытки. Проверка полноты и точности представления и раскрытия информации о финансовых инструментах. Категории раскрываемой информации.</w:t>
      </w:r>
      <w:r/>
    </w:p>
    <w:p>
      <w:pPr>
        <w:ind w:left="14" w:right="-113"/>
        <w:jc w:val="both"/>
      </w:pPr>
      <w:r/>
      <w:r/>
    </w:p>
    <w:p>
      <w:pPr>
        <w:ind w:left="14" w:right="-113"/>
        <w:jc w:val="both"/>
        <w:rPr>
          <w:b/>
        </w:rPr>
      </w:pPr>
      <w:r>
        <w:rPr>
          <w:b/>
        </w:rPr>
        <w:t xml:space="preserve">Тема 4. Особенности аудита финансовых инструментов в бухгалтерской (финансовой) отчетности, финансовой отчетности и консолидированной финансовой отчетности общественно значимых организаций на финансовом рынке</w:t>
      </w:r>
      <w:r>
        <w:rPr>
          <w:b/>
        </w:rPr>
      </w:r>
    </w:p>
    <w:p>
      <w:pPr>
        <w:ind w:left="14" w:right="-113"/>
        <w:jc w:val="both"/>
      </w:pPr>
      <w:r/>
      <w:r/>
    </w:p>
    <w:p>
      <w:pPr>
        <w:ind w:left="14" w:right="-113"/>
        <w:jc w:val="both"/>
      </w:pPr>
      <w:r>
        <w:t xml:space="preserve">Особенности аудита финансовых инструментов при проверке отчетности организаций, ценные бумаги которых допущены к организованным торгам: нормативные требования, источники информации.</w:t>
      </w:r>
      <w:r/>
    </w:p>
    <w:p>
      <w:pPr>
        <w:ind w:left="14" w:right="-113"/>
        <w:jc w:val="both"/>
      </w:pPr>
      <w:r>
        <w:t xml:space="preserve">Особенности аудита финансовых инструментов при проверке финансовой отчетности кредитных организаций, нормативные требования, источники информации.</w:t>
      </w:r>
      <w:r/>
    </w:p>
    <w:p>
      <w:pPr>
        <w:ind w:left="14" w:right="-113"/>
        <w:jc w:val="both"/>
      </w:pPr>
      <w:r>
        <w:t xml:space="preserve">Аудит финансовых инструментов при проверке бухгалтерской (финансовой) и финансовой отчетности прочих общественно значимых организаций на финансовом рынке.</w:t>
      </w:r>
      <w:r/>
    </w:p>
    <w:p>
      <w:pPr>
        <w:ind w:left="14" w:right="-113"/>
        <w:jc w:val="both"/>
      </w:pPr>
      <w:r>
        <w:t xml:space="preserve">Особенности аудита финансовых инструментов при проверке консолидированной финансовой отчетности.</w:t>
      </w:r>
      <w:r/>
    </w:p>
    <w:p>
      <w:pPr>
        <w:ind w:left="14"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14" w:right="-113"/>
        <w:jc w:val="both"/>
        <w:rPr>
          <w:b/>
        </w:rPr>
      </w:pPr>
      <w:r>
        <w:rPr>
          <w:b/>
        </w:rPr>
        <w:t xml:space="preserve">Результат обучения</w:t>
      </w:r>
      <w:r>
        <w:rPr>
          <w:b/>
        </w:rPr>
      </w:r>
    </w:p>
    <w:p>
      <w:pPr>
        <w:ind w:left="14" w:right="-11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Получение знаний и практических навыков применения Международных стандартов аудита, регулирующих вопросы сбора, оценки и получения доказательств в отношении отраженных в финансовой отчетности аудируемого лица финансовых инструментов.</w:t>
      </w:r>
      <w:r/>
    </w:p>
    <w:p>
      <w:pPr>
        <w:ind w:left="28" w:right="-113"/>
        <w:jc w:val="both"/>
      </w:pPr>
      <w:r>
        <w:t xml:space="preserve"> </w:t>
      </w:r>
      <w:r/>
    </w:p>
    <w:p>
      <w:pPr>
        <w:ind w:left="10" w:right="-113" w:hanging="10"/>
        <w:jc w:val="both"/>
        <w:rPr>
          <w:rFonts w:eastAsia="Calibri"/>
          <w:b/>
        </w:rPr>
      </w:pPr>
      <w:r>
        <w:rPr>
          <w:b/>
        </w:rPr>
        <w:t xml:space="preserve">6-7-04 </w:t>
      </w:r>
      <w:r>
        <w:rPr>
          <w:rFonts w:eastAsia="Calibri"/>
          <w:b/>
          <w:lang w:eastAsia="en-US"/>
        </w:rPr>
        <w:t xml:space="preserve">«АКТУАЛЬНЫЕ ВОПРОСЫ ПРИМЕНЕНИЯ</w:t>
      </w:r>
      <w:r>
        <w:rPr>
          <w:rFonts w:eastAsia="Calibri"/>
          <w:b/>
        </w:rPr>
        <w:t xml:space="preserve"> </w:t>
      </w:r>
      <w:r>
        <w:rPr>
          <w:rFonts w:eastAsia="Calibri"/>
          <w:b/>
          <w:lang w:eastAsia="en-US"/>
        </w:rPr>
        <w:t xml:space="preserve">ОТРАСЛЕВЫХ СТАНДАРТОВ БУХГАЛТЕРСКОГО УЧЕТА, МСФО,</w:t>
      </w:r>
      <w:r>
        <w:rPr>
          <w:rFonts w:eastAsia="Calibri"/>
          <w:b/>
        </w:rPr>
        <w:t xml:space="preserve"> ПОСЛЕДНИЕ ИЗМЕНЕНИЯ В НАЛОГООБЛОЖЕНИИ И ЗАКОНОДАТЕЛЬСТВЕ ПРИ АУДИТЕ ГОЛОВНЫХ ОРГАНИЗАЦИЙ БАНКОВСКИХ ХОЛДИНГОВ»</w:t>
      </w:r>
      <w:r>
        <w:rPr>
          <w:rFonts w:eastAsia="Calibri"/>
          <w:b/>
        </w:rPr>
      </w:r>
    </w:p>
    <w:p>
      <w:pPr>
        <w:ind w:left="10" w:right="-113" w:hanging="10"/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ind w:left="10" w:right="-113" w:hanging="10"/>
        <w:jc w:val="both"/>
      </w:pPr>
      <w:r>
        <w:rPr>
          <w:b/>
        </w:rPr>
        <w:t xml:space="preserve">Продолжительность обучения</w:t>
      </w:r>
      <w:r>
        <w:t xml:space="preserve"> - 8 академических часов.  </w:t>
      </w:r>
      <w:r/>
    </w:p>
    <w:p>
      <w:pPr>
        <w:ind w:right="-113"/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Цель программы</w:t>
      </w:r>
      <w:r>
        <w:t xml:space="preserve"> - углубление знаний аудиторов и руководителей аудита руководителей аудита головных организаций банковских холдингов в отношении ОСБУ, МСФО, отчетности, налогообложения и правового законодательства.</w:t>
      </w:r>
      <w:r>
        <w:rPr>
          <w:b/>
        </w:rPr>
      </w:r>
    </w:p>
    <w:p>
      <w:pPr>
        <w:ind w:left="10" w:right="-113" w:hanging="1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10" w:right="-113" w:hanging="10"/>
        <w:jc w:val="both"/>
      </w:pPr>
      <w:r>
        <w:rPr>
          <w:b/>
        </w:rPr>
        <w:t xml:space="preserve">Обязательные вопросы*</w:t>
      </w:r>
      <w:r>
        <w:t xml:space="preserve">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t xml:space="preserve">Общая характеристика современного состояния правового регулирования предмета изучаемого акта. Причины и цели принятия изучаемого акта. Концепция изучаемого акта. Круг лиц, на которых распространяется действи</w:t>
      </w:r>
      <w:r>
        <w:t xml:space="preserve">е изучаемого акта. Место изучаемого акта в общей системе нормативных правовых актов данной отрасли права. Содержание изучаемого акта, его новеллы в сравнении с ранее действовавшим актом в отношении того же предмета. Порядок вступления в силу изучаемого акт</w:t>
      </w:r>
      <w:r>
        <w:t xml:space="preserve">а и переходные положения. Последствия принятия изучаемого акта для аудируемых лиц и аудиторских организаций (аудиторов). Влияние принятия изучаемого акта на проведение аудита финансовой (бухгалтерской) отчетности головных организаций банковских холдингов. </w:t>
      </w:r>
      <w:r/>
    </w:p>
    <w:p>
      <w:pPr>
        <w:ind w:left="10" w:right="-113" w:hanging="10"/>
        <w:jc w:val="both"/>
      </w:pPr>
      <w:r>
        <w:t xml:space="preserve"> </w:t>
      </w:r>
      <w:r/>
    </w:p>
    <w:p>
      <w:pPr>
        <w:ind w:left="10" w:right="-113" w:hanging="10"/>
        <w:jc w:val="both"/>
      </w:pPr>
      <w:r>
        <w:t xml:space="preserve">*Текст данной программы отражает не содер</w:t>
      </w:r>
      <w:r>
        <w:t xml:space="preserve">жание ее темы, а приводит алгоритм проведения курсов по вышеназванной теме, которую необходимо знать при проведении аудита. При проведении курсов повышения квалификации аудиторов должны рассматриваться все перечисленные вопросы по каждому изучаемому акту. </w:t>
      </w:r>
      <w:r>
        <w:t xml:space="preserve">Распределение академических часов по отдельным вопросам при обучении по настоящей программе производится образовательным учреждением, проводящим занятия по повышению квалификации аудиторов и руководителей аудита головных организаций банковских холдингов.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Результат обучения</w:t>
      </w:r>
      <w:r>
        <w:t xml:space="preserve">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t xml:space="preserve">Глубокое и детальное понимание норм правового акта, его применения в финансово-хозяйственной деятельности аудируемых лиц и при осуществлении аудита головных организаций банковских холдингов.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/>
      <w:r/>
    </w:p>
    <w:p>
      <w:pPr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6-7-05 «ПРОГРАММА ДОПОЛНИТЕЛЬНОГО ПОВЫШЕНИЯ КВАЛИФИКАЦИИ ДЛЯ АУДИТОРОВ, ПРЕТЕНДУЮЩИХ НА НАЗНАЧЕНИЕ РУКОВОДИТЕЛЕМ АУДИТА </w:t>
      </w:r>
      <w:r>
        <w:rPr>
          <w:rFonts w:eastAsia="Calibri"/>
          <w:b/>
          <w:bCs/>
        </w:rPr>
        <w:t xml:space="preserve">ОБЩЕСТВЕННО-ЗНАЧИМЫХ ОРГАНИЗАЦИЙ: ГОЛОВНЫЕ ОРГАНИЗАЦИИ БАНКОВСКИХ ХОЛДИНГОВ,</w:t>
      </w:r>
      <w:r>
        <w:rPr>
          <w:rFonts w:eastAsia="Calibri"/>
          <w:b/>
          <w:bCs/>
          <w:lang w:eastAsia="en-US"/>
        </w:rPr>
        <w:t xml:space="preserve"> И НЕ ИМЕЮЩИХ ОПЫТА УЧАСТИЯ В ПРОВЕДЕНИИ АУДИТА БУХГАЛТЕРСКОЙ (ФИНАНСОВОЙ)</w:t>
      </w:r>
      <w:r>
        <w:rPr>
          <w:rFonts w:eastAsia="Calibri"/>
          <w:b/>
          <w:bCs/>
          <w:lang w:eastAsia="en-US"/>
        </w:rPr>
        <w:t xml:space="preserve"> ОТЧЕТНОСТИ</w:t>
      </w:r>
      <w:r>
        <w:rPr>
          <w:rFonts w:eastAsia="Calibri"/>
          <w:b/>
          <w:bCs/>
          <w:lang w:eastAsia="en-US"/>
        </w:rPr>
        <w:t xml:space="preserve"> </w:t>
      </w:r>
      <w:r>
        <w:rPr>
          <w:rFonts w:eastAsia="Calibri"/>
          <w:b/>
          <w:bCs/>
        </w:rPr>
        <w:t xml:space="preserve">ГОЛОВНЫХ ОРГАНИЗАЦИЙ БАНКОВСКИХ ХОЛДИНГОВ</w:t>
      </w:r>
      <w:r>
        <w:rPr>
          <w:rFonts w:eastAsia="Calibri"/>
          <w:b/>
          <w:bCs/>
          <w:lang w:eastAsia="en-US"/>
        </w:rPr>
        <w:t xml:space="preserve">»</w:t>
      </w:r>
      <w:r>
        <w:rPr>
          <w:rFonts w:eastAsia="Calibri"/>
          <w:b/>
          <w:bCs/>
          <w:lang w:eastAsia="en-US"/>
        </w:rPr>
      </w:r>
    </w:p>
    <w:p>
      <w:pPr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rPr>
          <w:rFonts w:eastAsia="Calibri"/>
        </w:rPr>
      </w:pPr>
      <w:r>
        <w:rPr>
          <w:rFonts w:eastAsia="Calibri"/>
          <w:b/>
        </w:rPr>
        <w:t xml:space="preserve">Продолжительность обучения</w:t>
      </w:r>
      <w:r>
        <w:rPr>
          <w:rFonts w:eastAsia="Calibri"/>
        </w:rPr>
        <w:t xml:space="preserve"> – 120 академических часов. </w:t>
      </w:r>
      <w:r>
        <w:rPr>
          <w:rFonts w:eastAsia="Calibri"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  <w:rPr>
          <w:rFonts w:eastAsia="Calibri"/>
        </w:rPr>
      </w:pPr>
      <w:r>
        <w:rPr>
          <w:rFonts w:eastAsia="Calibri"/>
          <w:b/>
        </w:rPr>
        <w:t xml:space="preserve">Цель программы</w:t>
      </w:r>
      <w:r>
        <w:rPr>
          <w:rFonts w:eastAsia="Calibri"/>
        </w:rPr>
        <w:t xml:space="preserve"> – </w:t>
      </w:r>
      <w:r>
        <w:rPr>
          <w:rFonts w:eastAsia="Calibri"/>
        </w:rPr>
        <w:t xml:space="preserve">повышение уровня знаний аудиторов, не имеющих опыта участия в проведении аудита бухгалтерской (финансовой) отчетности общественно-значимых организаций: головные организации банковских холдингов (ГОБХ) и претендующих на назначение руководителем аудита ГОБХ.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Тема 1. Понятия «Банковский холдинг», «Банковская группа», «Головная организация банковского холдинга». </w:t>
      </w:r>
      <w:r>
        <w:rPr>
          <w:rFonts w:eastAsia="Calibri"/>
          <w:b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Основные отличия банковского холд</w:t>
      </w:r>
      <w:r>
        <w:rPr>
          <w:rFonts w:eastAsia="Calibri"/>
        </w:rPr>
        <w:t xml:space="preserve">инга, банковской группы. Типовые основания возникновения банковского холдинга. Правовые последствия создания банковского холдинга. Правовой статус группы компаний. Дочерние компании банковского холдинга. Взаимозависимость компаний. Образование группы лиц. 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Методика определения доли банковской деятельности в деятельности банковского холдинга. 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Уведомление Банка России об образовании банковского холдинга.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Тема 2. Регулирование, контроль и надзор Центрального Банка Российской Федерации</w:t>
      </w:r>
      <w:r>
        <w:rPr>
          <w:rFonts w:eastAsia="Calibri"/>
          <w:b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Полномочия Банка России по регулированию, контролю и надзору за кредитными организациями и ГОБХ. Регулирующие, контрольные и надзорные функции Банка России кредитных организаций и ГОБХ.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Нормативы и иные требования Банка России в соответствии с федеральными законами, регулирующими деятельность соответствующих организаций.  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Требования, предъявляемые нормативными актами Банка России к целевым правилам внутреннего контроля в ГОБХ. Состав Целевых П</w:t>
      </w:r>
      <w:r>
        <w:rPr>
          <w:rFonts w:eastAsia="Calibri"/>
        </w:rPr>
        <w:t xml:space="preserve">равил внутреннего контроля по ПОД/ФТ/ФРОМУ. Программа организации работы по реализации ЦПВК в банковской группе/холдинге. Программа присоединения Организаций группы/холдинга к ЦПВК. Программа, определяющая требования к порядку обмена и использования Иденти</w:t>
      </w:r>
      <w:r>
        <w:rPr>
          <w:rFonts w:eastAsia="Calibri"/>
        </w:rPr>
        <w:t xml:space="preserve">фикационной информации между Организациями группы/холдинга и Головной организацией. Программа, определяющая требования к порядку хранения Идентификационной информации в Организациях группы/холдинга. Порядок информирования участников банковской группы/холди</w:t>
      </w:r>
      <w:r>
        <w:rPr>
          <w:rFonts w:eastAsia="Calibri"/>
        </w:rPr>
        <w:t xml:space="preserve">нга о введении запрета, указанного в части второй статьи 13 Федерального закона № 115-ФЗ «О противодействии легализации (отмыванию) доходов, полученных преступным путем, и финансированию терроризма». Требования о предоставлении сведений в Росфинмониторинг.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Проверки Банком России деятельности ГОБХ, направление ГОБХ обязательных для исполнения предписаний. Требования к обеспечению защиты информации при осуществлении деятельности кредитных организаций.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Сроки и порядок составления и представления отчетности, а также другой информации, предусмотренной федеральными законами, установленные Банком России</w:t>
      </w:r>
      <w:r>
        <w:rPr>
          <w:rFonts w:eastAsia="Calibri"/>
        </w:rPr>
        <w:t xml:space="preserve">.</w:t>
      </w:r>
      <w:r>
        <w:rPr>
          <w:rFonts w:eastAsia="Calibri"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Тема 3. Общие требования к ведению бухгалтерского учета, составлению и представлению бухгалтерской (финансовой) отчетности </w:t>
      </w:r>
      <w:r>
        <w:rPr>
          <w:rFonts w:eastAsia="Calibri"/>
          <w:b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Основные принципы бухгалтерского учета в ГОБХ. 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Порядок отражения на счетах бухгалтерского учета объектов бухгалтерского учета ГОБХ.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Учетная политика ГОБХ: назначение, порядок формирования и утверждения, основные принципы, порядок изменения учетной политики. 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Особенности составления и представления бухгалтерской (финансовой) отчетности: назначение, виды, состав, порядок подписания и утверждения. 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Консолидированная финансовая отчетность ГОБХ: понятие, требования к составлению и представлению.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Тема 4. Отдельные вопросы применения Международных стандартов финансовой отчетности (МСФО) при составлении и представлении бухгалтерской (финансовой) отчетности </w:t>
      </w:r>
      <w:r>
        <w:rPr>
          <w:rFonts w:eastAsia="Calibri"/>
          <w:b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Применение МСФО для целей составления различных видов финансовой отчетности.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Концептуальные основы представления финансовых отчетов. Практические рекомендации по формированию суждения о существенности.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Оценка справедливой стоимости: оценка активов и обя</w:t>
      </w:r>
      <w:r>
        <w:rPr>
          <w:rFonts w:eastAsia="Calibri"/>
        </w:rPr>
        <w:t xml:space="preserve">зательств, особенности оценки нефинансовых активов, справедливая оценка при первоначальном признании, методы оценки по справедливой стоимости, исходные данные, иерархия справедливой стоимости, раскрытие информации в отношении оценок справедливой стоимости.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Обесценение внеоборотных нефинансовых активов: идентификация актива для </w:t>
      </w:r>
      <w:r>
        <w:rPr>
          <w:rFonts w:eastAsia="Calibri"/>
        </w:rPr>
        <w:t xml:space="preserve">целей обесценения, понятие генерирующей единицы, оценка возмещаемой суммы актива или генерирующей единицы, расчет оценки ценности использования актива, признание и оценка убытка от обесценения актива или генерирующей единицы, особенности учета обесценения </w:t>
      </w:r>
      <w:r>
        <w:rPr>
          <w:rFonts w:eastAsia="Calibri"/>
        </w:rPr>
        <w:t xml:space="preserve">гудвила</w:t>
      </w:r>
      <w:r>
        <w:rPr>
          <w:rFonts w:eastAsia="Calibri"/>
        </w:rPr>
        <w:t xml:space="preserve">, восстановление убытка от обесценения, раскрытие информации в бухгалтерской (финансовой) отчетности. Расчет резервов, создаваемых для переоценки.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  <w:t xml:space="preserve">Отдельные вопросы применения МСФО, связанные с унификацией учетной политики составления отчетности по МСФО и российским правилам. </w:t>
      </w:r>
      <w:r>
        <w:rPr>
          <w:rFonts w:eastAsia="Calibri"/>
        </w:rPr>
      </w:r>
    </w:p>
    <w:p>
      <w:pPr>
        <w:jc w:val="both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Тема 5. Консолидированная финансовая отчетность. Основные требования и определения МСФО, относящиеся к консолидированной финансовой отчетности</w:t>
      </w:r>
      <w:r>
        <w:rPr>
          <w:rFonts w:eastAsia="Calibri"/>
          <w:b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</w:pPr>
      <w:r>
        <w:rPr>
          <w:rFonts w:eastAsia="Calibri"/>
        </w:rPr>
        <w:t xml:space="preserve">Стандарты, относя</w:t>
      </w:r>
      <w:r>
        <w:t xml:space="preserve">щиеся к консолидированной финансовой отчетности. IFRS 10 «Консолидированная финансовая отчетность», IFRS 3 «Объединение бизнеса». IAS 27 «</w:t>
      </w:r>
      <w:r>
        <w:rPr>
          <w:lang w:val="az-Cyrl-AZ"/>
        </w:rPr>
        <w:t xml:space="preserve">О</w:t>
      </w:r>
      <w:r>
        <w:t xml:space="preserve">тдельная</w:t>
      </w:r>
      <w:r>
        <w:t xml:space="preserve"> финансовая отчетность». (IAS) 34 «Промежуточная финансовая отчетность». IAS 28 «Инвестиции в ассоциированные предприятия». (IFRS) 1</w:t>
      </w:r>
      <w:r>
        <w:t xml:space="preserve">1 «Совместное предпринимательство». IFRS 1 «Первое применение МСФО». (IFRS) 12 «Раскрытие информации об участии в других организациях». (IFRS) 12 «Раскрытие информации об участии в других организациях». (IAS) 24 «Раскрытие информации о связанных сторонах».</w:t>
      </w:r>
      <w:r/>
    </w:p>
    <w:p>
      <w:pPr>
        <w:jc w:val="both"/>
      </w:pPr>
      <w:r>
        <w:t xml:space="preserve">Оценка степени контроля и виды подконтрольных организаций в зависимости от степени контроля по правилам МСФО</w:t>
      </w:r>
      <w:r/>
    </w:p>
    <w:p>
      <w:pPr>
        <w:jc w:val="both"/>
      </w:pPr>
      <w:r>
        <w:t xml:space="preserve">Процедура и основные правила консолидации. Периметр консолидации. Определение состава группы: понятие дочерних и ассоциированных компаний. Определение доли владения.  </w:t>
      </w:r>
      <w:r/>
    </w:p>
    <w:p>
      <w:pPr>
        <w:jc w:val="both"/>
      </w:pPr>
      <w:r/>
      <w:r/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Тема 6. Составление и представление консолидированной финансовая отчетности ГОБХ</w:t>
      </w:r>
      <w:r>
        <w:rPr>
          <w:rFonts w:eastAsia="Calibri"/>
          <w:b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</w:pPr>
      <w:r>
        <w:t xml:space="preserve">Состав консолидированной бухгалтерской отчетности ГОБХ.  </w:t>
      </w:r>
      <w:r/>
    </w:p>
    <w:p>
      <w:pPr>
        <w:jc w:val="both"/>
      </w:pPr>
      <w:r>
        <w:t xml:space="preserve">Информация о рисках банковского холдинга. Состав и содержание формы. Порядок заполнения. Практические примеры заполнения формы.</w:t>
      </w:r>
      <w:r/>
    </w:p>
    <w:p>
      <w:pPr>
        <w:jc w:val="both"/>
      </w:pPr>
      <w:r/>
      <w:hyperlink r:id="rId87" w:tooltip="https://login.consultant.ru/link/?req=doc&amp;base=LAW&amp;n=443579&amp;dst=100367&amp;field=134&amp;date=15.10.2024" w:history="1">
        <w:r>
          <w:t xml:space="preserve">Отчет</w:t>
        </w:r>
      </w:hyperlink>
      <w:r>
        <w:t xml:space="preserve"> о составе участников банковского холдинга и вложениях в паи инвестиционных фондов. Состав и содержание формы. Порядок заполнения. Практические примеры заполнения формы.</w:t>
      </w:r>
      <w:r/>
    </w:p>
    <w:p>
      <w:pPr>
        <w:jc w:val="both"/>
      </w:pPr>
      <w:r/>
      <w:hyperlink r:id="rId88" w:tooltip="https://login.consultant.ru/link/?req=doc&amp;base=LAW&amp;n=443579&amp;dst=100494&amp;field=134&amp;date=15.10.2024" w:history="1">
        <w:r>
          <w:t xml:space="preserve">Информация</w:t>
        </w:r>
      </w:hyperlink>
      <w:r>
        <w:t xml:space="preserve"> об управляющей компании банковского холдинга и возложенных на нее обязанностях головной организации банковского холдинга. Состав и содержание формы. Порядок заполнения. Практические примеры заполнения формы.</w:t>
      </w:r>
      <w:r/>
    </w:p>
    <w:p>
      <w:pPr>
        <w:jc w:val="both"/>
      </w:pPr>
      <w:r>
        <w:t xml:space="preserve">Примечания с обзором учётной политики и прочими пояснениями. Практические примеры заполнения.</w:t>
      </w:r>
      <w:r/>
    </w:p>
    <w:p>
      <w:pPr>
        <w:jc w:val="both"/>
      </w:pPr>
      <w:r>
        <w:t xml:space="preserve">Промежуточная консолидированная финансовая отчетность. Раскрытия и представление банковскими холдингами консолидированной финансовой отчетности. Порядок заполнения. Практические примеры заполнения формы.</w:t>
      </w:r>
      <w:r/>
    </w:p>
    <w:p>
      <w:pPr>
        <w:jc w:val="both"/>
      </w:pPr>
      <w:r>
        <w:t xml:space="preserve">Порядок и сроки предоставления отчетности в Центральный Банк России.</w:t>
      </w:r>
      <w:r/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  <w:rPr>
          <w:b/>
        </w:rPr>
      </w:pPr>
      <w:r>
        <w:rPr>
          <w:b/>
        </w:rPr>
        <w:t xml:space="preserve">Тема 7. Особенности аудита ГОБХ. Аудиторское заключение. Применение в аудите ГОБХ международных стандартов аудита</w:t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</w:pPr>
      <w:r>
        <w:t xml:space="preserve">Требования к аудиторской организации для проведения обязательного аудита бухгалтерской (финансовой) отчетности ГОБХ. Доп</w:t>
      </w:r>
      <w:r>
        <w:t xml:space="preserve">олнительные требования 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законами.</w:t>
      </w:r>
      <w:r/>
    </w:p>
    <w:p>
      <w:pPr>
        <w:jc w:val="both"/>
      </w:pPr>
      <w:r>
        <w:t xml:space="preserve">Право Банка России на обжалование аудиторского заключения. Решение Банка России о признании аудиторского заключения ненадлежащим в обстоятельствах согласно стандартам аудиторской деятельности.</w:t>
      </w:r>
      <w:r/>
    </w:p>
    <w:p>
      <w:pPr>
        <w:jc w:val="both"/>
      </w:pPr>
      <w:r>
        <w:t xml:space="preserve">Порядок заключения договора на проведения обязательного аудита бухгалтерской (финансовой) отчетности ГОБХ.</w:t>
      </w:r>
      <w:r/>
    </w:p>
    <w:p>
      <w:pPr>
        <w:jc w:val="both"/>
      </w:pPr>
      <w:r>
        <w:t xml:space="preserve">Процедуры проверки предписаний Банка России.</w:t>
      </w:r>
      <w:r/>
    </w:p>
    <w:p>
      <w:pPr>
        <w:jc w:val="both"/>
      </w:pPr>
      <w:r>
        <w:t xml:space="preserve">Особенности аудита бухгалтерской (финансовой) отчет</w:t>
      </w:r>
      <w:r>
        <w:t xml:space="preserve">ности ГОБХ как общественно значимой организации. Группы пользователей финансовой отчетности ГОБХ и их интересы. Понимание деятельности аудируемого лица. Отраслевые, правовые и другие внешние факторы, влияющие на деятельность ГОБХ, и связанные с ними риски.</w:t>
      </w:r>
      <w:r/>
    </w:p>
    <w:p>
      <w:pPr>
        <w:jc w:val="both"/>
      </w:pPr>
      <w:r>
        <w:t xml:space="preserve">Критерии существенности искажений и порядок их исправлений.</w:t>
      </w:r>
      <w:r/>
    </w:p>
    <w:p>
      <w:pPr>
        <w:jc w:val="both"/>
      </w:pPr>
      <w:r>
        <w:t xml:space="preserve">Ключевые вопросы аудита.</w:t>
      </w:r>
      <w:r/>
    </w:p>
    <w:p>
      <w:pPr>
        <w:jc w:val="both"/>
      </w:pPr>
      <w:r>
        <w:t xml:space="preserve">Информирование лиц, отвечающих за корпоративное управление, о значимых выводах в результате аудита и о недостатках внутреннего контроля.</w:t>
      </w:r>
      <w:r/>
    </w:p>
    <w:p>
      <w:pPr>
        <w:jc w:val="both"/>
      </w:pPr>
      <w:r>
        <w:t xml:space="preserve">Обязанности аудитора, относящиеся к прочей информации, включенной в годовой отчет ГОБХ.</w:t>
      </w:r>
      <w:r/>
    </w:p>
    <w:p>
      <w:pPr>
        <w:jc w:val="both"/>
      </w:pPr>
      <w:r>
        <w:t xml:space="preserve">Особенности организации внутреннего аудита в ГОБХ и рассмотрение результатов его работы в аудите.</w:t>
      </w:r>
      <w:r/>
    </w:p>
    <w:p>
      <w:pPr>
        <w:jc w:val="both"/>
      </w:pPr>
      <w:r>
        <w:t xml:space="preserve">Аудиторское заключение к годовой бухгалтерской (финансовой) отчетности ГОБХ. Аудиторское заключение к консолидированной финансовой отчетности ГОБХ. Аудиторское заключение к промежуточной консолидированной финансовой отчетности ГОБХ.</w:t>
      </w:r>
      <w:r/>
    </w:p>
    <w:p>
      <w:pPr>
        <w:jc w:val="both"/>
      </w:pPr>
      <w:r>
        <w:t xml:space="preserve">Возможности для анализа при аудите ГОБХ бухгалтерской (финансовой) отчетности управляющих компаний, оказывающих ГОБХ услуги по доверительному управлению имуществом.</w:t>
      </w:r>
      <w:r/>
    </w:p>
    <w:p>
      <w:pPr>
        <w:jc w:val="both"/>
      </w:pPr>
      <w:r>
        <w:t xml:space="preserve">Практические вопросы аудита головной организации банковских холдингов.</w:t>
      </w:r>
      <w:r/>
    </w:p>
    <w:p>
      <w:pPr>
        <w:jc w:val="both"/>
      </w:pPr>
      <w:r>
        <w:t xml:space="preserve">Типовые вопросы и нарушения при составлении аудиторских заключений ГОБХ.</w:t>
      </w:r>
      <w:r/>
    </w:p>
    <w:p>
      <w:pPr>
        <w:jc w:val="both"/>
      </w:pPr>
      <w:r/>
      <w:r/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Результат обучения</w:t>
      </w:r>
      <w:r>
        <w:rPr>
          <w:rFonts w:eastAsia="Calibri"/>
          <w:b/>
        </w:rPr>
      </w:r>
    </w:p>
    <w:p>
      <w:pPr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jc w:val="both"/>
      </w:pPr>
      <w:r>
        <w:t xml:space="preserve">Глубокое понимание специфики аудита головных организаций банковских холд</w:t>
      </w:r>
      <w:r>
        <w:t xml:space="preserve">ингов с учетом требований Банка России, практики аудита, международных стандартов аудита, выработка отдельных навыков и совершенствование профессиональных компетенций, способствующих эффективному участию в аудите головных организациях банковских холдингов.</w:t>
      </w:r>
      <w:r/>
    </w:p>
    <w:p>
      <w:pPr>
        <w:pStyle w:val="11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6-7-06 «ОСНОВЫ БУХГАЛТЕРСКОГО УЧЕТА И ФИНАНСОВОЙ ОТЧЕТНОСТИ ГОЛОВНЫХ ОРГАНИЗАЦИЙ БАНКОВСКИХ ХОЛДИНГОВ»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Продолжительность обучения</w:t>
      </w:r>
      <w:r>
        <w:rPr>
          <w:rFonts w:ascii="Times New Roman" w:hAnsi="Times New Roman" w:cs="Times New Roman"/>
          <w:sz w:val="24"/>
          <w:szCs w:val="24"/>
        </w:rPr>
        <w:t xml:space="preserve"> – 40 академических часов.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программы</w:t>
      </w:r>
      <w:r>
        <w:rPr>
          <w:rFonts w:ascii="Times New Roman" w:hAnsi="Times New Roman" w:cs="Times New Roman"/>
          <w:sz w:val="24"/>
          <w:szCs w:val="24"/>
        </w:rPr>
        <w:t xml:space="preserve"> – углубление знаний аудиторов и руководителей аудита общественно значимых организаций, желающих специализироваться на аудите головных организаций банковских холдингов, в части особенностей организации бухгалтерского учета.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1. Понятия «Банковский холдинг», «Банковская группа», «Головная организация банковского холдинга»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отличия банковского холд</w:t>
      </w:r>
      <w:r>
        <w:rPr>
          <w:rFonts w:ascii="Times New Roman" w:hAnsi="Times New Roman" w:cs="Times New Roman"/>
          <w:sz w:val="24"/>
          <w:szCs w:val="24"/>
        </w:rPr>
        <w:t xml:space="preserve">инга, банковской группы. Типовые основания возникновения банковского холдинга. Правовые последствия создания банковского холдинга. Правовой статус группы компаний. Дочерние компании банковского холдинга. Взаимозависимость компаний. Образование группы лиц.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Методика определения доли банковской деятельности в деятельности банковского холдинга.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Банка России об образовании банковского холдинга.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2. Регулирование, контроль и надзор Центрального Банка Российской Федерации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Полномочия Банка России по регулированию, контролю и надзору за кредитными организациями и ГОБХ. Регулирующие, контрольные и надзорные функции Банка России кредитных организаций и ГОБХ.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Нормативы и иные требования Банка России в соответствии с федеральными законами, регулирующими деятельность соответствующих организаций.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Требования, предъявляемые нормативными актами Банка России к целевым правилам внутреннего контроля в ГОБХ. Состав Целевых П</w:t>
      </w:r>
      <w:r>
        <w:rPr>
          <w:rFonts w:ascii="Times New Roman" w:hAnsi="Times New Roman" w:cs="Times New Roman"/>
          <w:sz w:val="24"/>
          <w:szCs w:val="24"/>
        </w:rPr>
        <w:t xml:space="preserve">равил внутреннего контроля по ПОД/ФТ/ФРОМУ. Программа организации работы по реализации ЦПВК в банковской группе/холдинге. Программа присоединения Организаций группы/холдинга к ЦПВК. Программа, определяющая требования к порядку обмена и использования Иденти</w:t>
      </w:r>
      <w:r>
        <w:rPr>
          <w:rFonts w:ascii="Times New Roman" w:hAnsi="Times New Roman" w:cs="Times New Roman"/>
          <w:sz w:val="24"/>
          <w:szCs w:val="24"/>
        </w:rPr>
        <w:t xml:space="preserve">фикационной информации между Организациями группы/холдинга и Головной организацией. Программа, определяющая требования к порядку хранения Идентификационной информации в Организациях группы/холдинга. Порядок информирования участников банковской группы/холди</w:t>
      </w:r>
      <w:r>
        <w:rPr>
          <w:rFonts w:ascii="Times New Roman" w:hAnsi="Times New Roman" w:cs="Times New Roman"/>
          <w:sz w:val="24"/>
          <w:szCs w:val="24"/>
        </w:rPr>
        <w:t xml:space="preserve">нга о введении запрета, указанного в части второй статьи 13 Федерального закона № 115-ФЗ «О противодействии легализации (отмыванию) доходов, полученных преступным путем, и финансированию терроризма». Требования о предоставлении сведений в Росфинмониторинг.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Проверки Банком России деятельности ГОБХ, направление ГОБХ обязательных для исполнения предписаний. Требования к обеспечению защиты информации при осуществлении деятельности кредитных организаций.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Сроки и порядок составления и представления отчетности, а также другой информации, предусмотренной федеральными законами, установленные Банком России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3. Общие требования к ведению бухгалтерского учета, составлению и представлению бухгалтерской (финансовой) отчетности 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принципы бухгалтерского учета в ГОБХ.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отражения на счетах бухгалтерского учета объектов бухгалтерского учета ГОБХ.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Учетная политика ГОБХ: назначение, порядок формирования и утверждения, основные принципы, порядок изменения учетной политики.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составления и представления бухгалтерской (финансовой) отчетности: назначение, виды, состав, порядок подписания и утверждения.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Консолидированная финансовая отчетность ГОБХ: понятие, требования к составлению и представлению.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 обучения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Глубокое понимание основ бухгалтерского учета, бухгалтерской (финансовой) отчетности ГОБХ,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sz w:val="24"/>
          <w:szCs w:val="24"/>
          <w:u w:val="single"/>
        </w:rPr>
      </w:r>
    </w:p>
    <w:p>
      <w:pPr>
        <w:pStyle w:val="116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6-7-07 «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СОСТАВ И СОДЕРЖАНИЕ ФИНАНСОВОЙ ОТЧЕТНОСТИ ПО МСФО ГОЛОВНЫХ ОРГАНИЗАЦИЙ БАНКОВСКИХ ХОЛДИНГОВ: ПРЕДСТАВЛЕНИЕ ИНФОРМАЦИИ И ЕЕ ДОПОЛНИТЕЛЬНОЕ РАСКРЫТИЕ»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Продолжительность обучения</w:t>
      </w:r>
      <w:r>
        <w:rPr>
          <w:rFonts w:ascii="Times New Roman" w:hAnsi="Times New Roman" w:cs="Times New Roman"/>
          <w:sz w:val="24"/>
          <w:szCs w:val="24"/>
        </w:rPr>
        <w:t xml:space="preserve"> – 40 академических часов.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Цель программы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 – углубление знаний аудиторов и руководителей аудита общественно значимых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организаций, желающих специализироваться на аудите головных организаций банковских холдингов (ГОБХ), в части особенностей деятельности ГОБХ, организации бухгалтерского учета в отношении применения требований МСФО при подготовке финансовой отчетности ГОБХ.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1. Понятия «Банковский холдинг», «Банковская группа», «Головная организация банковского холдинга»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отличия банковского холд</w:t>
      </w:r>
      <w:r>
        <w:rPr>
          <w:rFonts w:ascii="Times New Roman" w:hAnsi="Times New Roman" w:cs="Times New Roman"/>
          <w:sz w:val="24"/>
          <w:szCs w:val="24"/>
        </w:rPr>
        <w:t xml:space="preserve">инга, банковской группы. Типовые основания возникновения банковского холдинга. Правовые последствия создания банковского холдинга. Правовой статус группы компаний. Дочерние компании банковского холдинга. Взаимозависимость компаний. Образование группы лиц.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Методика определения доли банковской деятельности в деятельности банковского холдинга.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Банка России об образовании банковского холдинга.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2. Регулирование, контроль и надзор Центрального Банка Российской Федерации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Полномочия Банка России по регулированию, контролю и надзору за кредитными организациями и ГОБХ. Регулирующие, контрольные и надзорные функции Банка России кредитных организаций и ГОБХ.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Нормативы и иные требования Банка России в соответствии с федеральными законами, регулирующими деятельность соответствующих организаций.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Требования, предъявляемые нормативными актами Банка России к целевым правилам внутреннего контроля в ГОБХ в целях ПОД/ФТ/ФРОМУ.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Проверки Банком России деятельности ГОБХ, направление ГОБХ обязательных для исполнения предписаний. Требования к обеспечению защиты информации при осуществлении деятельности кредитных организаций.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Сроки и порядок составления и представления отчетности, а также другой информации, предусмотренной федеральными законами, установленные Банком России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/>
      <w:bookmarkStart w:id="8" w:name="_Toc132358467"/>
      <w:r>
        <w:rPr>
          <w:rFonts w:ascii="Times New Roman" w:hAnsi="Times New Roman" w:cs="Times New Roman"/>
          <w:b/>
          <w:sz w:val="24"/>
          <w:szCs w:val="24"/>
        </w:rPr>
        <w:t xml:space="preserve">Тема 3. Отдельные вопросы применения Международных стандартов финансовой отчетности (МСФО) при составлении и представлении бухгалтерской (финансовой) отчетности </w:t>
      </w:r>
      <w:bookmarkEnd w:id="8"/>
      <w:r/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Применение МСФО для целей составления различных видов финансовой отчетности.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Концептуальные основы представления финансовых отчетов. Практические рекомендации по формированию суждения о существенности.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справедливой стоимости: оценка активов и обя</w:t>
      </w:r>
      <w:r>
        <w:rPr>
          <w:rFonts w:ascii="Times New Roman" w:hAnsi="Times New Roman" w:cs="Times New Roman"/>
          <w:sz w:val="24"/>
          <w:szCs w:val="24"/>
        </w:rPr>
        <w:t xml:space="preserve">зательств, особенности оценки нефинансовых активов, справедливая оценка при первоначальном признании, методы оценки по справедливой стоимости, исходные данные, иерархия справедливой стоимости, раскрытие информации в отношении оценок справедливой стоимости.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Обесценение внеоборотных нефинансовых активов: идентификация актива для </w:t>
      </w:r>
      <w:r>
        <w:rPr>
          <w:rFonts w:ascii="Times New Roman" w:hAnsi="Times New Roman" w:cs="Times New Roman"/>
          <w:sz w:val="24"/>
          <w:szCs w:val="24"/>
        </w:rPr>
        <w:t xml:space="preserve">целей обесценения, понятие генерирующей единицы, оценка возмещаемой суммы актива или генерирующей единицы, расчет оценки ценности использования актива, признание и оценка убытка от обесценения актива или генерирующей единицы, особенности учета обесценения </w:t>
      </w:r>
      <w:r>
        <w:rPr>
          <w:rFonts w:ascii="Times New Roman" w:hAnsi="Times New Roman" w:cs="Times New Roman"/>
          <w:sz w:val="24"/>
          <w:szCs w:val="24"/>
        </w:rPr>
        <w:t xml:space="preserve">гудвила</w:t>
      </w:r>
      <w:r>
        <w:rPr>
          <w:rFonts w:ascii="Times New Roman" w:hAnsi="Times New Roman" w:cs="Times New Roman"/>
          <w:sz w:val="24"/>
          <w:szCs w:val="24"/>
        </w:rPr>
        <w:t xml:space="preserve">, восстановление убытка от обесценения, раскрытие информации в бухгалтерской (финансовой) отчетности. Расчет резервов, создаваемых для переоценки.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Отдельные вопросы применения МСФО, связанные с унификацией учетной политики составления отчетности по МСФО и российским правилам.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/>
      <w:bookmarkStart w:id="9" w:name="_Toc132358468"/>
      <w:r>
        <w:rPr>
          <w:rFonts w:ascii="Times New Roman" w:hAnsi="Times New Roman" w:cs="Times New Roman"/>
          <w:b/>
          <w:sz w:val="24"/>
          <w:szCs w:val="24"/>
        </w:rPr>
        <w:t xml:space="preserve">Тема 4. Консолидированная финансовая отчетность</w:t>
      </w:r>
      <w:bookmarkEnd w:id="9"/>
      <w:r>
        <w:rPr>
          <w:rFonts w:ascii="Times New Roman" w:hAnsi="Times New Roman" w:cs="Times New Roman"/>
          <w:b/>
          <w:sz w:val="24"/>
          <w:szCs w:val="24"/>
        </w:rPr>
        <w:t xml:space="preserve">. Основные требования и определения МСФО, относящиеся к консолидированной финансовой отчетности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Стандарты, относящиеся к консолидированной финансовой отчетности. IFRS 10 «Консолидированная финансовая отчетность», IFRS 3 «Объединение бизнеса». IAS 27 «</w:t>
      </w:r>
      <w:r>
        <w:rPr>
          <w:rFonts w:ascii="Times New Roman" w:hAnsi="Times New Roman" w:cs="Times New Roman"/>
          <w:sz w:val="24"/>
          <w:szCs w:val="24"/>
          <w:lang w:val="az-Cyrl-AZ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тдельная</w:t>
      </w:r>
      <w:r>
        <w:rPr>
          <w:rFonts w:ascii="Times New Roman" w:hAnsi="Times New Roman" w:cs="Times New Roman"/>
          <w:sz w:val="24"/>
          <w:szCs w:val="24"/>
        </w:rPr>
        <w:t xml:space="preserve"> финансовая отчетность». (IAS) 34 «Промежуточная финансовая отчетность». IAS 28 «Инвестиции в ассоциированные предприятия». (IFRS) 1</w:t>
      </w:r>
      <w:r>
        <w:rPr>
          <w:rFonts w:ascii="Times New Roman" w:hAnsi="Times New Roman" w:cs="Times New Roman"/>
          <w:sz w:val="24"/>
          <w:szCs w:val="24"/>
        </w:rPr>
        <w:t xml:space="preserve">1 «Совместное предпринимательство». IFRS 1 «Первое применение МСФО». (IFRS) 12 «Раскрытие информации об участии в других организациях». (IFRS) 12 «Раскрытие информации об участии в других организациях». (IAS) 24 «Раскрытие информации о связанных сторонах».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степени контроля и виды подконтрольных организаций в зависимости от степени контроля по правилам МСФО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Процедура и основные правила консолидации. Периметр консолидации. Определение состава группы: понятие дочерних и ассоциированных компаний. Определение доли владения.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5. Составление и представление консолидированной финансовая отчетности ГОБХ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Состав консолидированной бухгалтерской отчетности ГОБХ.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Информация о рисках банковского холдинга. Состав и содержание формы. Порядок заполнения. Практические примеры заполнения формы.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/>
      <w:hyperlink r:id="rId89" w:tooltip="https://login.consultant.ru/link/?req=doc&amp;base=LAW&amp;n=443579&amp;dst=100367&amp;field=134&amp;date=15.10.2024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 xml:space="preserve">Отчет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 составе участников банковского холдинга и вложениях в паи инвестиционных фондов. Состав и содержание формы. Порядок заполнения. Практические примеры заполнения формы.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/>
      <w:hyperlink r:id="rId90" w:tooltip="https://login.consultant.ru/link/?req=doc&amp;base=LAW&amp;n=443579&amp;dst=100494&amp;field=134&amp;date=15.10.2024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 xml:space="preserve">Информация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об управляющей компании банковского холдинга и возложенных на нее обязанностях головной организации банковского холдинга. Состав и содержание формы. Порядок заполнения. Практические примеры заполнения формы.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Примечания с обзором учётной политики и прочими пояснениями.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Практические примеры заполнения.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Промежуточная консолидированная финансовая отчетность. Раскрытия и представление банковскими холдингами консолидированной финансовой отчетности. Порядок заполнения. Практические примеры заполнения формы.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Порядок и сроки предоставления отчетности в Центральный Банк России.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 обучения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Глубокое понимание правил составления финансовой отчетности ГОБХ, необходимое для проведения аудита.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6-7-08 «АКТУАЛЬНЫЕ ВОПРОСЫ АУДИТА БУХГАЛТЕРСКОЙ (ФИНАНСОВОЙ) ОТЧЕТНОСТИ ГОЛОВНЫХ ОРГАНИЗАЦИЙ БАНКОВСКИХ ХОЛДИНГОВ»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Продолжительность обучения</w:t>
      </w:r>
      <w:r>
        <w:rPr>
          <w:rFonts w:ascii="Times New Roman" w:hAnsi="Times New Roman" w:cs="Times New Roman"/>
          <w:sz w:val="24"/>
          <w:szCs w:val="24"/>
        </w:rPr>
        <w:t xml:space="preserve"> – 40 академических часов.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углубление знаний, выработка отдельных навыков, совершенствование профессиональных компетенций аудиторов и руководителей аудита головных организаций </w:t>
      </w:r>
      <w:r>
        <w:rPr>
          <w:rFonts w:ascii="Times New Roman" w:hAnsi="Times New Roman" w:cs="Times New Roman"/>
          <w:sz w:val="24"/>
          <w:szCs w:val="24"/>
        </w:rPr>
        <w:t xml:space="preserve">банковских холдингов, в том числе аудиторов, претендующих на назначение руководителем такого аудита.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1. Понятия «Банковский холдинг», «Банковская группа», «Головная организация банковского холдинга»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отличия банковского холд</w:t>
      </w:r>
      <w:r>
        <w:rPr>
          <w:rFonts w:ascii="Times New Roman" w:hAnsi="Times New Roman" w:cs="Times New Roman"/>
          <w:sz w:val="24"/>
          <w:szCs w:val="24"/>
        </w:rPr>
        <w:t xml:space="preserve">инга, банковской группы. Типовые основания возникновения банковского холдинга. Правовые последствия создания банковского холдинга. Правовой статус группы компаний. Дочерние компании банковского холдинга. Взаимозависимость компаний. Образование группы лиц.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Методика определения доли банковской деятельности в деятельности банковского холдинга.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Банка России об образовании банковского холдинга.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2. Регулирование, контроль и надзор Центрального Банка Российской Федерации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Полномочия Банка России по регулированию, контролю и надзору за кредитными организациями и ГОБХ. Регулирующие, контрольные и надзорные функции Банка России кредитных организаций и ГОБХ.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Нормативы и иные требования Банка России в соответствии с федеральными законами, регулирующими деятельность соответствующих организаций.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Требования, предъявляемые нормативными актами Банка России к целевым правилам внутреннего контроля в ГОБХ в целях ПОД/ФТ/ФРОМУ.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Проверки Банком России деятельности ГОБХ, направление ГОБХ обязательных для исполнения предписаний. Требования к обеспечению защиты информации при осуществлении деятельности кредитных организаций.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Сроки и порядок составления и представления отчетности, а также другой информации, предусмотренной федеральными законами, установленные Банком России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3. Особенности аудита ГОБХ. Аудиторское заключение. Применение в аудите ГОБХ международных стандартов аудита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Требования к аудиторской организации для проведения обязательного аудита бухгалтерской (финансовой) отчетности ГОБХ. Доп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олнительные требования 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Право Банка России на обжалование аудиторского заключения. Решение Банка России о признании аудиторского заключения ненадлежащим в обстоятельствах согласно стандартам аудиторской деятельности.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Порядок заключения договора на проведения обязательного аудита бухгалтерской (финансовой) отчетности ГОБХ.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Процедуры проверки предписаний Банка России.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Учетная политика ГОБХ: назначение, порядок формирования и утверждения, основные принципы, порядок изменения учетной политики.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составления и представления бухгалтерской (финансовой) отчетности ГОБХ: назначение, виды, состав, порядок подписания и утверждения.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Консолидированная финансовая отчетность ГОБХ: понятие, требования к составлению и представлению.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Особенности аудита бухгалтерской (финансовой) отчет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ности ГОБХ как общественно значимой организации. Группы пользователей финансовой отчетности ГОБХ и их интересы. Понимание деятельности аудируемого лица. Отраслевые, правовые и другие внешние факторы, влияющие на деятельность ГОБХ, и связанные с ними риски.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Критерии существенности искажений и порядок их исправлений.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Ключевые вопросы аудита.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Информирование лиц, отвечающих за корпоративное управление, о значимых выводах в результате аудита и о недостатках внутреннего контроля.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Обязанности аудитора, относящиеся к прочей информации, включенной в годовой отчет ГОБХ.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Особенности организации внутреннего аудита в ГОБХ и рассмотрение результатов его работы в аудите.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Аудиторское заключение к годовой бухгалтерской (финансовой) отчетности ГОБХ. Аудиторское заключение к консолидированной финансовой отчетности ГОБХ. Аудиторское заключение к промежуточной консолидированной финансовой отчетности ГОБХ.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Возможности для анализа при аудите ГОБХ бухгалтерской (финансовой) отчетности управляющих компаний, оказывающих ГОБХ услуги по доверительному управлению имуществом.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Практические вопросы аудита головной организации банковских холдингов.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Типовые</w:t>
      </w:r>
      <w:r>
        <w:rPr>
          <w:rFonts w:ascii="Times New Roman" w:hAnsi="Times New Roman" w:cs="Times New Roman"/>
          <w:sz w:val="24"/>
          <w:szCs w:val="24"/>
        </w:rPr>
        <w:t xml:space="preserve"> вопросы и нарушения при составлении аудиторских заключений ГОБХ.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 обучения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16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Глубокое понимание специфики аудита головных организаций банковских холдингов с учетом требований Банка России, практики аудита, международных стандартов аудита, выработка отдельных навыков и совершенствование профессиональных компетенций</w:t>
      </w:r>
      <w:r>
        <w:rPr>
          <w:rFonts w:ascii="Times New Roman" w:hAnsi="Times New Roman" w:cs="Times New Roman"/>
          <w:sz w:val="24"/>
          <w:szCs w:val="24"/>
        </w:rPr>
        <w:t xml:space="preserve">, способствующих эффективному участию в аудите головных организациях банковских холдингов.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/>
      <w:r/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6-7-09 </w:t>
      </w:r>
      <w:r>
        <w:rPr>
          <w:rFonts w:eastAsia="Calibri"/>
          <w:b/>
          <w:bCs/>
          <w:lang w:eastAsia="en-US"/>
        </w:rPr>
        <w:t xml:space="preserve">«</w:t>
      </w:r>
      <w:r>
        <w:rPr>
          <w:rFonts w:eastAsia="Calibri"/>
          <w:b/>
          <w:bCs/>
          <w:lang w:eastAsia="en-US"/>
        </w:rPr>
        <w:t xml:space="preserve">СОСТАВ И СОДЕРЖАНИЕ ФИНАНСОВОЙ ОТЧЕТНОСТИ ПО МСФО КРЕДИТНЫХ ОРГАНИЗАЦИЙ: ПРЕДСТАВЛЕНИЕ ИНФОРМАЦИИ И ЕЕ ДОПОЛНИТЕЛЬНОЕ РАСКРЫТИЕ. КОНСОЛИДИРОВАННАЯ ФИНАНСОВАЯ ОТЧЕТНОСТЬ ГОЛОВНЫХ ОРГАНИЗАЦИЙ БАНКОВСКИХ ХОЛДИНГОВ</w:t>
      </w:r>
      <w:r>
        <w:rPr>
          <w:rFonts w:eastAsia="Calibri"/>
          <w:b/>
          <w:bCs/>
          <w:lang w:eastAsia="en-US"/>
        </w:rPr>
        <w:t xml:space="preserve">»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8 академических часов.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– углубление знаний аудиторов и руководителей аудита общественно значимых о</w:t>
      </w:r>
      <w:r>
        <w:rPr>
          <w:rFonts w:eastAsia="Calibri"/>
          <w:lang w:eastAsia="en-US"/>
        </w:rPr>
        <w:t xml:space="preserve">рганизаций, желающих специализироваться на аудите кредитных организаций, головных организаций банковских холдингов в отношении применения требований МСФО при подготовке финансовой отчетности кредитных организаций, головных организаций банковских холдингов.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Особенн</w:t>
      </w:r>
      <w:r>
        <w:rPr>
          <w:rFonts w:eastAsia="Calibri"/>
          <w:b/>
          <w:lang w:eastAsia="en-US"/>
        </w:rPr>
        <w:t xml:space="preserve">ости структуры и содержания отчетов, входящих в состав финансовой отчетности по МСФО кредитных организаций. Практика применения МСФО (IAS) 1 «Представление финансовой отчетности» и МСФО (IAS) 7 «Отчет о движении денежных средств» для финансовых организаций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37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Особенности структуры и порядка представления статей в отчете о финансовом положении кредитных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137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Особенности структуры и порядка представления статей в отчете о совокупном доходе кредитных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137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Особенности структуры и порядка представления статей в отчете о движении денежных средств кредитных организаций. Практика применения методов составления ОДДС для финансовых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137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практических вопросов представления информации в отчетах, входящих в состав финансовой отчетности по МСФО кредитных организаций.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Особенности раскрытия информации в примечаниях к финансовой отчетности по МСФО кредитных организаций 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38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финансовой отчетности по МСФО кредитных организаций об основных положениях учетной политики кредитной организации, в т.ч. в отношении: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признания и прекращения признания, классификации и оценки финансовых инструментов в соответствии с МСФО (IFRS) 9;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модели оценки резервов под ожидаемые кредитные убытки по финансовым инструментам в соответствии с МСФО (IFRS) 9, подходов к ее валидации и обновлению;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признания процентных доходов по эффективной процентной ставке и прочих процентных доходов;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подходов к признанию и учету модификации финансовых инструментов в соответствии с МСФО (IFRS) 9;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критериев признания в качестве эквивалентов денежных средств;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порядка учета выданных финансовых и нефинансовых гарантий;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 других значимых учетных положений для банковской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13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финансовой отчетности по МСФО кредитных организаций о важных оценочных суждениях при применении учетной политики кредитной организации, в т.ч. в отношении: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оценки резервов под ожидаемые кредитные убытки по финансовым инструментам в соответствии с МСФО (IFRS) 9;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определения справедливой стоимости финансовых инструментов, отнесенных к уровням 2 и 3 иерархии справедливой стоимости по МСФО (IFRS) 13; 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 других значимых оценочных суждений для банковской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13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примечаниях к финансовой отчетности по МСФО кредитных организаций по статьям отчета о финансовом положении и по операциям, характерным для деятельности кредитных организаций: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межбанковские кредиты и депозиты;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сделки РЕПО;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привлеченные и размещенные субординированные кредиты и депозиты;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вложения в ценные бумаги;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выданные кредиты клиентам;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привлеченные средства клиентов;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выпущенные ценные бумаги;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кредитные линии и овердрафты;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выданные банковские гарантии;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иные значимые операции для банковской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13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примечаниях к финансовой отчетности по МСФО кредитных организаций по статьям отчета о совокупном доходе, характерным для деятельности кредитных организаций: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процентные доходы и расходы;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комиссионные доходы и расходы;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изменение оценочного резерва под ожидаемые кредитные убытки;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прочие значимые доходы/ расходы от банковской и иной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13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Раскрытие информации в примечаниях к финансовой отчетности по МСФО кредитных организаций об оценке справедливой стоимос</w:t>
      </w:r>
      <w:r>
        <w:rPr>
          <w:rFonts w:eastAsia="Tahoma"/>
          <w:lang w:eastAsia="en-US"/>
        </w:rPr>
        <w:t xml:space="preserve">ти финансовых инструментов по МСФО (IFRS) 13, включая раскрытие информации количественного и качественного характера в отношении финансовых инструментов, как учитываемых по справедливой стоимости, так и справедливая стоимость которых раскрывается отдельно.</w:t>
      </w:r>
      <w:r>
        <w:rPr>
          <w:rFonts w:eastAsia="Tahoma"/>
          <w:lang w:eastAsia="en-US"/>
        </w:rPr>
      </w:r>
    </w:p>
    <w:p>
      <w:pPr>
        <w:numPr>
          <w:ilvl w:val="0"/>
          <w:numId w:val="138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практических вопросов раскрытия информации в примечаниях к финансовой отчетности по МСФО кредитных организаций.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3. Подходы к раскрытию информации количественного и качественного характера в отношении управления рисками и капиталом кредитных организаций в финансовой отчетности по МСФО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39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Общие требования к раскрытию информации о рисках деятельности кредитных организаций, установленные МСФО (IFRS) 7. </w:t>
      </w:r>
      <w:r>
        <w:rPr>
          <w:rFonts w:eastAsia="Tahoma"/>
          <w:lang w:eastAsia="en-US"/>
        </w:rPr>
      </w:r>
    </w:p>
    <w:p>
      <w:pPr>
        <w:numPr>
          <w:ilvl w:val="0"/>
          <w:numId w:val="139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Классификация рисков. Значимые и прочие риски. Финансовые и нефинансовые риски.</w:t>
      </w:r>
      <w:r>
        <w:rPr>
          <w:rFonts w:eastAsia="Tahoma"/>
          <w:lang w:eastAsia="en-US"/>
        </w:rPr>
      </w:r>
    </w:p>
    <w:p>
      <w:pPr>
        <w:numPr>
          <w:ilvl w:val="0"/>
          <w:numId w:val="139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Содержание и состав количественной и качественной информации о рисках деятельности, минимально необходимой для удовлетворения всех требований МСФО (IFRS) 7 с учетом специфики бизнеса кредитных организаций.</w:t>
      </w:r>
      <w:r>
        <w:rPr>
          <w:rFonts w:eastAsia="Tahoma"/>
          <w:lang w:eastAsia="en-US"/>
        </w:rPr>
      </w:r>
    </w:p>
    <w:p>
      <w:pPr>
        <w:numPr>
          <w:ilvl w:val="0"/>
          <w:numId w:val="139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наилучшей практики раскрытия информации о рисках деятельности кредитных организаций в разрезе основных рисков:</w:t>
      </w:r>
      <w:r>
        <w:rPr>
          <w:rFonts w:eastAsia="Tahoma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кредитный риск;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рыночный риск (в т.ч. процентный, валютный, фондовый, товарный);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риск ликвидности;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операционный риск;</w:t>
      </w:r>
      <w:r>
        <w:rPr>
          <w:rFonts w:eastAsia="Calibri"/>
          <w:lang w:eastAsia="en-US"/>
        </w:rPr>
      </w:r>
    </w:p>
    <w:p>
      <w:pPr>
        <w:numPr>
          <w:ilvl w:val="0"/>
          <w:numId w:val="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прочие риски.</w:t>
      </w:r>
      <w:r>
        <w:rPr>
          <w:rFonts w:eastAsia="Calibri"/>
          <w:lang w:eastAsia="en-US"/>
        </w:rPr>
      </w:r>
    </w:p>
    <w:p>
      <w:pPr>
        <w:numPr>
          <w:ilvl w:val="0"/>
          <w:numId w:val="139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Обсуждение наилучшей практики раскрытия информации о подходах к управлению капиталом и рисками в отношении соблюдения требований Банка России к величине собственных средств (капитала) и обязательных нормативов кредитными организациями.</w:t>
      </w:r>
      <w:r>
        <w:rPr>
          <w:rFonts w:eastAsia="Tahoma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4. Консолидированная финансовая отчетность головных организаций банковских холдингов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Правовое регулирование и надзор головных организаций банковских холдингов.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Требования к составлению и раскрытию консолидированной финансовой отчетности головных организаций банковских холдингов.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Методы, технологии и особенности составления консолидированной финансовой отчетности головных организаций банковских холдингов.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Рассмотрение примеров консолидированной финансовой отчетности головных организаций банковских холдингов.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Глубокое понимание отраслевых стандартов бухгалтерского учета, бухгалтерской (финансовой) отчетности кредитны</w:t>
      </w:r>
      <w:r>
        <w:rPr>
          <w:rFonts w:eastAsia="Calibri"/>
          <w:lang w:eastAsia="en-US"/>
        </w:rPr>
        <w:t xml:space="preserve">х финансовых организаций, консолидированной финансовой отчетности головных организаций банковских холдингов, их применения в финансово-хозяйственной деятельности аудируемых лиц при осуществлении аудита и консалтинга аудиторскими организациями (аудиторами).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6-7-10 </w:t>
      </w:r>
      <w:r>
        <w:rPr>
          <w:rFonts w:eastAsia="Calibri"/>
          <w:b/>
          <w:bCs/>
          <w:lang w:eastAsia="en-US"/>
        </w:rPr>
        <w:t xml:space="preserve">«</w:t>
      </w:r>
      <w:r>
        <w:rPr>
          <w:rFonts w:eastAsia="Calibri"/>
          <w:b/>
          <w:bCs/>
          <w:lang w:eastAsia="en-US"/>
        </w:rPr>
        <w:t xml:space="preserve">НОВЫЕ МСФО. АКТУАЛЬНЫЕ ВОПРОСЫ ПРИМЕНЕНИЯ ПРИ АУДИТЕ КРЕДИТНЫХ ОРГАНИЗАЦИЙ, АУДИТЕ КОНСОЛИДИРОВАННОЙ ФИНАНСОВОЙ ОТЧЕТНОСТИ ГОЛОВНЫХ ОРГАНИЗАЦИЙ БАНКОВСКИХ ХОЛДИНГОВ</w:t>
      </w:r>
      <w:r>
        <w:rPr>
          <w:rFonts w:eastAsia="Calibri"/>
          <w:b/>
          <w:bCs/>
          <w:lang w:eastAsia="en-US"/>
        </w:rPr>
        <w:t xml:space="preserve">»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 – 8 академических часов.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 – углубление знаний аудиторов и руководителей аудита общественно значимых организаций, желающих специализироваться на а</w:t>
      </w:r>
      <w:r>
        <w:rPr>
          <w:rFonts w:eastAsia="Calibri"/>
          <w:lang w:eastAsia="en-US"/>
        </w:rPr>
        <w:t xml:space="preserve">удите кредитных организаций, в части отдельных международных стандартов финансовой отчетности, применимых для кредитных организаций, проведения аудита кредитных организаций, консолидированной финансовой отчетности головных организаций банковских холдингов.</w:t>
      </w:r>
      <w:r>
        <w:rPr>
          <w:rFonts w:eastAsia="Calibri"/>
          <w:b/>
          <w:bCs/>
          <w:lang w:eastAsia="en-US"/>
        </w:rPr>
      </w:r>
    </w:p>
    <w:p>
      <w:pPr>
        <w:ind w:right="-1"/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Применение новых редакций международных стандартов финансовой отчетности в кредитных организациях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4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Международный стандарт финансовой отчетности (IFRS) 9 «Финансовые инструменты»</w:t>
      </w:r>
      <w:r>
        <w:rPr>
          <w:rFonts w:eastAsia="Calibri"/>
          <w:lang w:eastAsia="en-US"/>
        </w:rPr>
      </w:r>
    </w:p>
    <w:p>
      <w:pPr>
        <w:numPr>
          <w:ilvl w:val="0"/>
          <w:numId w:val="14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Международный стандарт финансовой отчетности (IAS) 34 «Промежуточная отчетность» </w:t>
      </w:r>
      <w:r>
        <w:rPr>
          <w:rFonts w:eastAsia="Calibri"/>
          <w:lang w:eastAsia="en-US"/>
        </w:rPr>
      </w:r>
    </w:p>
    <w:p>
      <w:pPr>
        <w:numPr>
          <w:ilvl w:val="0"/>
          <w:numId w:val="140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Прочие международные стандарты финансовой отчетности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2. Вопросы применения при аудите кредитных организаций, головных организаций банковских холдингов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14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Международные стандарты финансовой отчетности, применимые для кредитных организаций </w:t>
      </w:r>
      <w:r>
        <w:rPr>
          <w:rFonts w:eastAsia="Calibri"/>
          <w:lang w:eastAsia="en-US"/>
        </w:rPr>
      </w:r>
    </w:p>
    <w:p>
      <w:pPr>
        <w:numPr>
          <w:ilvl w:val="0"/>
          <w:numId w:val="14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Консолидированная финансовая отчетность.</w:t>
      </w:r>
      <w:r>
        <w:rPr>
          <w:rFonts w:eastAsia="Calibri"/>
          <w:lang w:eastAsia="en-US"/>
        </w:rPr>
      </w:r>
    </w:p>
    <w:p>
      <w:pPr>
        <w:numPr>
          <w:ilvl w:val="0"/>
          <w:numId w:val="14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Консолидированная финансовая отчетность головных организаций банковских холдингов.</w:t>
      </w:r>
      <w:r>
        <w:rPr>
          <w:rFonts w:eastAsia="Calibri"/>
          <w:lang w:eastAsia="en-US"/>
        </w:rPr>
      </w:r>
    </w:p>
    <w:p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Глубокое понимание отраслевых стандартов бухгалтерского учета, бухгалтерской (финансовой) отчетности кредитных финансовых организаций, их применения в финансово-хозяйственной деятельности аудируемых лиц при осуществлении аудита и консалтинга </w:t>
      </w:r>
      <w:r>
        <w:rPr>
          <w:rFonts w:eastAsia="Calibri"/>
          <w:lang w:eastAsia="en-US"/>
        </w:rPr>
        <w:t xml:space="preserve">аудиторскими организациями (аудиторами), консолидированной финансовой отчетности головных организаций банковских холдингов.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6-7-11 </w:t>
      </w:r>
      <w:r>
        <w:rPr>
          <w:rFonts w:eastAsia="Calibri"/>
          <w:b/>
          <w:bCs/>
          <w:lang w:eastAsia="en-US"/>
        </w:rPr>
        <w:t xml:space="preserve">«</w:t>
      </w:r>
      <w:r>
        <w:rPr>
          <w:rFonts w:eastAsia="Calibri"/>
          <w:b/>
          <w:bCs/>
          <w:lang w:eastAsia="en-US"/>
        </w:rPr>
        <w:t xml:space="preserve">МСФО (IFRS) 9: ФИНАНСОВЫЕ ИНСТРУМЕНТЫ. ВОПРОСЫ ФИНАНСОВОЙ ОТЧЕТНОСТИ ГОЛОВНЫХ ОРГАНИЗАЦИЙ БАНКОВСКИХ ХОЛДИНГОВ</w:t>
      </w:r>
      <w:r>
        <w:rPr>
          <w:rFonts w:eastAsia="Calibri"/>
          <w:b/>
          <w:bCs/>
          <w:lang w:eastAsia="en-US"/>
        </w:rPr>
        <w:t xml:space="preserve">»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 – 8 академических часов.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 </w:t>
      </w:r>
      <w:r>
        <w:rPr>
          <w:rFonts w:eastAsia="Calibri"/>
          <w:lang w:eastAsia="en-US"/>
        </w:rPr>
        <w:t xml:space="preserve">- углубление знаний аудиторов и руководителей аудита общественно значимых организаций, желающих специализироваться на аудите кредитных 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организаций, в части особенностей деятельности кредитных 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организаций, организации бухгалтерского учета, проведения аудита кредитных 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организаций, головных организаций банковских холдингов, требований МСФО (IFRS) 9 «Финансовые инструменты».</w:t>
      </w:r>
      <w:r>
        <w:rPr>
          <w:rFonts w:eastAsia="Calibri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классификация ценных бумаг для целей учета: распределение по оценочным категориям</w:t>
      </w:r>
      <w:r>
        <w:rPr>
          <w:rFonts w:eastAsia="Calibri"/>
          <w:lang w:eastAsia="en-US"/>
        </w:rPr>
        <w:t xml:space="preserve"> в </w:t>
      </w:r>
      <w:r>
        <w:rPr>
          <w:rFonts w:eastAsia="Tahoma"/>
          <w:lang w:eastAsia="en-US"/>
        </w:rPr>
        <w:t xml:space="preserve">результате выбранной бизнес-модели, изменение применяемой бизнес-модели в отношении ценных бумаг </w:t>
      </w:r>
      <w:r>
        <w:rPr>
          <w:rFonts w:eastAsia="Calibri"/>
          <w:lang w:eastAsia="en-US"/>
        </w:rPr>
        <w:t xml:space="preserve">(Положение Банка России </w:t>
      </w:r>
      <w:r>
        <w:rPr>
          <w:rFonts w:eastAsia="Tahoma"/>
          <w:lang w:eastAsia="en-US"/>
        </w:rPr>
        <w:t xml:space="preserve">№ 606</w:t>
      </w:r>
      <w:r>
        <w:rPr>
          <w:rFonts w:eastAsia="Calibri"/>
          <w:lang w:eastAsia="en-US"/>
        </w:rPr>
        <w:t xml:space="preserve">-П</w:t>
      </w:r>
      <w:r>
        <w:rPr>
          <w:rFonts w:eastAsia="Tahoma"/>
          <w:lang w:eastAsia="en-US"/>
        </w:rPr>
        <w:t xml:space="preserve">);</w:t>
      </w:r>
      <w:r>
        <w:rPr>
          <w:rFonts w:eastAsia="Tahoma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первоначальное признание ценных бумаг по справедливой стоимости: отражение финансового результата, учет отсроченной разницы; </w:t>
      </w:r>
      <w:r>
        <w:rPr>
          <w:rFonts w:eastAsia="Tahoma"/>
          <w:lang w:eastAsia="en-US"/>
        </w:rPr>
      </w:r>
    </w:p>
    <w:p>
      <w:pPr>
        <w:numPr>
          <w:ilvl w:val="0"/>
          <w:numId w:val="142"/>
        </w:num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оценка справедливой стоимости в соответствии с МСФО (IFRS) 13: наблюдаемые и ненаблюдаемые данные, источники информации, классификация уровня справедливой стоимости.</w:t>
      </w:r>
      <w:r>
        <w:rPr>
          <w:rFonts w:eastAsia="Calibri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ценных бумаг по амортизированной стоимости: применение метода эффективной процентной ставки, начисление процентных доходов, корректировка до амортизированной стоимости;</w:t>
      </w:r>
      <w:r>
        <w:rPr>
          <w:rFonts w:eastAsia="Tahoma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методы расчета амортизированной стоимости в соответствии с МСФО (IFRS) 9. Рыночные и нерыночные процентные ставки. Источники получения информации.</w:t>
      </w:r>
      <w:r>
        <w:rPr>
          <w:rFonts w:eastAsia="Tahoma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ценных бумаг по справедливой стоимости через прочий совокупный доход и через прибыль или убыток. Переоценка по справедливой стоимости;</w:t>
      </w:r>
      <w:r>
        <w:rPr>
          <w:rFonts w:eastAsia="Tahoma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оценочный резерв под обесценение. Признаки обесценения. Определение актива как кредитно-обесцененного при первоначальном признании. Ожидаемые кредитные убытки и методы их оценки. Кред</w:t>
      </w:r>
      <w:r>
        <w:rPr>
          <w:rFonts w:eastAsia="Tahoma"/>
          <w:lang w:eastAsia="en-US"/>
        </w:rPr>
        <w:t xml:space="preserve">итные риски и признаки их значительного увеличения. Определение дефолта и его признаки. Изменение методов оценки ожидаемых кредитных убытков при значительном увеличении кредитного риска, риска дефолта. Оценка риска на групповой основе (портфельный подход).</w:t>
      </w:r>
      <w:r>
        <w:rPr>
          <w:rFonts w:eastAsia="Tahoma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</w:t>
      </w:r>
      <w:r>
        <w:rPr>
          <w:rFonts w:eastAsia="Calibri"/>
          <w:lang w:eastAsia="en-US"/>
        </w:rPr>
        <w:t xml:space="preserve">сделок </w:t>
      </w:r>
      <w:r>
        <w:rPr>
          <w:rFonts w:eastAsia="Tahoma"/>
          <w:lang w:eastAsia="en-US"/>
        </w:rPr>
        <w:t xml:space="preserve">на главе Г «Счета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(сделки)»;</w:t>
      </w:r>
      <w:r>
        <w:rPr>
          <w:rFonts w:eastAsia="Tahoma"/>
          <w:lang w:eastAsia="en-US"/>
        </w:rPr>
      </w:r>
    </w:p>
    <w:p>
      <w:pPr>
        <w:numPr>
          <w:ilvl w:val="0"/>
          <w:numId w:val="142"/>
        </w:num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производных финансовых инструментов, пример отражения в учете форвардного контракта; </w:t>
      </w:r>
      <w:r>
        <w:rPr>
          <w:rFonts w:eastAsia="Calibri"/>
          <w:lang w:eastAsia="en-US"/>
        </w:rPr>
      </w:r>
    </w:p>
    <w:p>
      <w:pPr>
        <w:numPr>
          <w:ilvl w:val="0"/>
          <w:numId w:val="142"/>
        </w:num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сделок РЕПО и займов, выданных ценными бумагами;</w:t>
      </w:r>
      <w:r>
        <w:rPr>
          <w:rFonts w:eastAsia="Calibri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приобретенных векселей в соответствии с выбранной бизнес-моделью и оценочной категорией;</w:t>
      </w:r>
      <w:r>
        <w:rPr>
          <w:rFonts w:eastAsia="Tahoma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деятельности кредитной организации по управлению рисками, предусматривающей использование для этого инструментов хеджирования (Отраслевой стандарт бухгалтерского учета хеджирования кредитными организациями);</w:t>
      </w:r>
      <w:r>
        <w:rPr>
          <w:rFonts w:eastAsia="Tahoma"/>
          <w:lang w:eastAsia="en-US"/>
        </w:rPr>
      </w:r>
    </w:p>
    <w:p>
      <w:pPr>
        <w:numPr>
          <w:ilvl w:val="0"/>
          <w:numId w:val="142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рассмотрение вопросов консолидации финансовой отчетности на базе головной организации банковского холдинга в контексте учета финансовых инструментов.</w:t>
      </w:r>
      <w:r>
        <w:rPr>
          <w:rFonts w:eastAsia="Tahoma"/>
          <w:lang w:eastAsia="en-US"/>
        </w:rPr>
      </w:r>
    </w:p>
    <w:p>
      <w:pPr>
        <w:contextualSpacing/>
        <w:jc w:val="both"/>
        <w:spacing w:after="160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ind w:right="-113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</w:t>
      </w:r>
      <w:r>
        <w:rPr>
          <w:rFonts w:eastAsia="Calibri"/>
          <w:lang w:eastAsia="en-US"/>
        </w:rPr>
        <w:t xml:space="preserve">етальное понимание международного стандарта финансовой отчетности МСФО (IFRS) 9 «Финансовые инструменты», его применения в финансово-хозяйственной деятельности аудируемых лиц и при осуществлении аудита и консалтинга аудиторскими организациями (аудиторами).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6-7-11/1 </w:t>
      </w:r>
      <w:r>
        <w:rPr>
          <w:rFonts w:eastAsia="Calibri"/>
          <w:b/>
          <w:bCs/>
          <w:lang w:eastAsia="en-US"/>
        </w:rPr>
        <w:t xml:space="preserve">«</w:t>
      </w:r>
      <w:r>
        <w:rPr>
          <w:rFonts w:eastAsia="Calibri"/>
          <w:b/>
          <w:bCs/>
          <w:lang w:eastAsia="en-US"/>
        </w:rPr>
        <w:t xml:space="preserve">МСФО (IFRS) 9: ФИНАНСОВЫЕ ИНСТРУМЕНТЫ. ВОПРОСЫ ФИНАНСОВОЙ ОТЧЕТНОСТИ ГОЛОВНЫХ ОРГАНИЗАЦИЙ БАНКОВСКИХ ХОЛДИНГОВ</w:t>
      </w:r>
      <w:r>
        <w:rPr>
          <w:rFonts w:eastAsia="Calibri"/>
          <w:b/>
          <w:bCs/>
          <w:lang w:eastAsia="en-US"/>
        </w:rPr>
        <w:t xml:space="preserve">»</w:t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 – 4 академических часа.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 </w:t>
      </w:r>
      <w:r>
        <w:rPr>
          <w:rFonts w:eastAsia="Calibri"/>
          <w:lang w:eastAsia="en-US"/>
        </w:rPr>
        <w:t xml:space="preserve">- углубление знаний аудиторов и руководителей аудита общественно значимых организаций, желающих специализироваться на аудите кредитных 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организаций, в части особенностей деятельности кредитных 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организаций, организации бухгалтерского учета, проведения аудита кредитных 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организаций, головных организаций банковских холдингов, требований МСФО (IFRS) 9 «Финансовые инструменты».</w:t>
      </w:r>
      <w:r>
        <w:rPr>
          <w:rFonts w:eastAsia="Calibri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классификация ценных бумаг для целей учета: распределение по оценочным категориям</w:t>
      </w:r>
      <w:r>
        <w:rPr>
          <w:rFonts w:eastAsia="Calibri"/>
          <w:lang w:eastAsia="en-US"/>
        </w:rPr>
        <w:t xml:space="preserve"> в </w:t>
      </w:r>
      <w:r>
        <w:rPr>
          <w:rFonts w:eastAsia="Tahoma"/>
          <w:lang w:eastAsia="en-US"/>
        </w:rPr>
        <w:t xml:space="preserve">результате выбранной бизнес-модели, изменение применяемой бизнес-модели в отношении ценных бумаг </w:t>
      </w:r>
      <w:r>
        <w:rPr>
          <w:rFonts w:eastAsia="Calibri"/>
          <w:lang w:eastAsia="en-US"/>
        </w:rPr>
        <w:t xml:space="preserve">(Положение Банка России </w:t>
      </w:r>
      <w:r>
        <w:rPr>
          <w:rFonts w:eastAsia="Tahoma"/>
          <w:lang w:eastAsia="en-US"/>
        </w:rPr>
        <w:t xml:space="preserve">№ 606</w:t>
      </w:r>
      <w:r>
        <w:rPr>
          <w:rFonts w:eastAsia="Calibri"/>
          <w:lang w:eastAsia="en-US"/>
        </w:rPr>
        <w:t xml:space="preserve">-П</w:t>
      </w:r>
      <w:r>
        <w:rPr>
          <w:rFonts w:eastAsia="Tahoma"/>
          <w:lang w:eastAsia="en-US"/>
        </w:rPr>
        <w:t xml:space="preserve">);</w:t>
      </w:r>
      <w:r>
        <w:rPr>
          <w:rFonts w:eastAsia="Tahoma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первоначальное признание ценных бумаг по справедливой стоимости: отражение финансового результата, учет отсроченной разницы; </w:t>
      </w:r>
      <w:r>
        <w:rPr>
          <w:rFonts w:eastAsia="Tahoma"/>
          <w:lang w:eastAsia="en-US"/>
        </w:rPr>
      </w:r>
    </w:p>
    <w:p>
      <w:pPr>
        <w:numPr>
          <w:ilvl w:val="0"/>
          <w:numId w:val="143"/>
        </w:num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оценка справедливой стоимости в соответствии с МСФО (IFRS) 13: наблюдаемые и ненаблюдаемые данные, источники информации, классификация уровня справедливой стоимости</w:t>
      </w:r>
      <w:r>
        <w:rPr>
          <w:rFonts w:eastAsia="Calibri"/>
          <w:lang w:eastAsia="en-US"/>
        </w:rPr>
        <w:t xml:space="preserve">;</w:t>
      </w:r>
      <w:r>
        <w:rPr>
          <w:rFonts w:eastAsia="Calibri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ценных бумаг по амортизированной стоимости: применение метода эффективной процентной ставки, начисление процентных доходов, корректировка до амортизированной стоимости;</w:t>
      </w:r>
      <w:r>
        <w:rPr>
          <w:rFonts w:eastAsia="Tahoma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методы расчета амортизированной стоимости в соответствии с МСФО (IFRS) 9. Рыночные и нерыночные процентные ставки. Источники получения информации.</w:t>
      </w:r>
      <w:r>
        <w:rPr>
          <w:rFonts w:eastAsia="Tahoma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ценных бумаг по справедливой стоимости через прочий совокупный доход и через прибыль или убыток. Переоценка по справедливой стоимости;</w:t>
      </w:r>
      <w:r>
        <w:rPr>
          <w:rFonts w:eastAsia="Tahoma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оценочный резерв под обесценение. Признаки обесценения. Определение актива как кредитно-обесцененного при первоначальном признании. Ожидаемые кредитные убытки и методы их оценки. Кред</w:t>
      </w:r>
      <w:r>
        <w:rPr>
          <w:rFonts w:eastAsia="Tahoma"/>
          <w:lang w:eastAsia="en-US"/>
        </w:rPr>
        <w:t xml:space="preserve">итные риски и признаки их значительного увеличения. Определение дефолта и его признаки. Изменение методов оценки ожидаемых кредитных убытков при значительном увеличении кредитного риска, риска дефолта. Оценка риска на групповой основе (портфельный подход).</w:t>
      </w:r>
      <w:r>
        <w:rPr>
          <w:rFonts w:eastAsia="Tahoma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</w:t>
      </w:r>
      <w:r>
        <w:rPr>
          <w:rFonts w:eastAsia="Calibri"/>
          <w:lang w:eastAsia="en-US"/>
        </w:rPr>
        <w:t xml:space="preserve">сделок </w:t>
      </w:r>
      <w:r>
        <w:rPr>
          <w:rFonts w:eastAsia="Tahoma"/>
          <w:lang w:eastAsia="en-US"/>
        </w:rPr>
        <w:t xml:space="preserve">на главе Г «Счета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(сделки)»;</w:t>
      </w:r>
      <w:r>
        <w:rPr>
          <w:rFonts w:eastAsia="Tahoma"/>
          <w:lang w:eastAsia="en-US"/>
        </w:rPr>
      </w:r>
    </w:p>
    <w:p>
      <w:pPr>
        <w:numPr>
          <w:ilvl w:val="0"/>
          <w:numId w:val="1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производных финансовых инструментов, пример отражения в учете форвардного контракта; </w:t>
      </w:r>
      <w:r>
        <w:rPr>
          <w:rFonts w:eastAsia="Calibri"/>
          <w:lang w:eastAsia="en-US"/>
        </w:rPr>
      </w:r>
    </w:p>
    <w:p>
      <w:pPr>
        <w:numPr>
          <w:ilvl w:val="0"/>
          <w:numId w:val="143"/>
        </w:num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сделок РЕПО и займов, выданных ценными бумагами;</w:t>
      </w:r>
      <w:r>
        <w:rPr>
          <w:rFonts w:eastAsia="Calibri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приобретенных векселей в соответствии с выбранной бизнес-моделью и оценочной категорией;</w:t>
      </w:r>
      <w:r>
        <w:rPr>
          <w:rFonts w:eastAsia="Tahoma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учет деятельности кредитной организации по управлению рисками, предусматривающей использование для этого инструментов хеджирования (Отраслевой стандарт бухгалтерского учета хеджирования кредитными организациями).</w:t>
      </w:r>
      <w:r>
        <w:rPr>
          <w:rFonts w:eastAsia="Tahoma"/>
          <w:lang w:eastAsia="en-US"/>
        </w:rPr>
      </w:r>
    </w:p>
    <w:p>
      <w:pPr>
        <w:numPr>
          <w:ilvl w:val="0"/>
          <w:numId w:val="143"/>
        </w:numPr>
        <w:contextualSpacing/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рассмотрение вопросов консолидации финансовой отчетности на базе головной организации банковского холдинга в контексте учета финансовых инструментов.</w:t>
      </w:r>
      <w:r>
        <w:rPr>
          <w:rFonts w:eastAsia="Tahoma"/>
          <w:lang w:eastAsia="en-US"/>
        </w:rPr>
      </w:r>
    </w:p>
    <w:p>
      <w:pPr>
        <w:contextualSpacing/>
        <w:jc w:val="both"/>
        <w:rPr>
          <w:rFonts w:eastAsia="Tahoma"/>
          <w:lang w:eastAsia="en-US"/>
        </w:rPr>
      </w:pPr>
      <w:r>
        <w:rPr>
          <w:rFonts w:eastAsia="Tahoma"/>
          <w:lang w:eastAsia="en-US"/>
        </w:rPr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ind w:right="-113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Де</w:t>
      </w:r>
      <w:r>
        <w:rPr>
          <w:rFonts w:eastAsia="Calibri"/>
          <w:lang w:eastAsia="en-US"/>
        </w:rPr>
        <w:t xml:space="preserve">тальное понимание международного стандарта финансовой отчетности МСФО (IFRS) 9 «Финансовые инструменты», его применения в финансово-хозяйственной деятельности аудируемых лиц и при осуществлении аудита и консалтинга аудиторскими организациями (аудиторами). </w:t>
      </w:r>
      <w:r>
        <w:rPr>
          <w:rFonts w:eastAsia="Calibri"/>
          <w:lang w:eastAsia="en-US"/>
        </w:rPr>
      </w:r>
    </w:p>
    <w:p>
      <w:pPr>
        <w:ind w:right="-113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right="-113"/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6-7-12 </w:t>
      </w:r>
      <w:r>
        <w:rPr>
          <w:rFonts w:eastAsia="Calibri"/>
          <w:b/>
          <w:bCs/>
          <w:lang w:eastAsia="en-US"/>
        </w:rPr>
        <w:t xml:space="preserve">«</w:t>
      </w:r>
      <w:r>
        <w:rPr>
          <w:rFonts w:eastAsia="Calibri"/>
          <w:b/>
          <w:bCs/>
          <w:lang w:eastAsia="en-US"/>
        </w:rPr>
        <w:t xml:space="preserve">АКТУАЛЬНЫЕ ВОПРОСЫ ПРИМЕНЕНИЯ </w:t>
      </w:r>
      <w:r>
        <w:rPr>
          <w:rFonts w:eastAsia="Calibri"/>
          <w:b/>
          <w:bCs/>
          <w:lang w:eastAsia="en-US"/>
        </w:rPr>
        <w:t xml:space="preserve">ОТРАСЛЕВЫХ СТАНДАРТОВ БУХГАЛТЕРСКОГО УЧЕТА, МСФО, ПОСЛЕДНИЕ ИЗМЕНЕНИЯ В НАЛОГООБЛОЖЕНИИ И ЗАКОНОДАТЕЛЬСТВЕ ПРИ АУДИТЕ КРЕДИТНЫХ ОРГАНИЗАЦИЙ, ГОЛОВНЫХ КРЕДИТНЫХ ОРГАНИЗАЦИЙ БАНКОВСКИХ ГРУПП, ДИЛЕРОВ, ФОРЕКС-ДИЛЕРОВ, ГОЛОВНЫХ ОРГАНИЗАЦИЙ БАНКОВСКИХ ХОЛДИНГОВ</w:t>
      </w:r>
      <w:r>
        <w:rPr>
          <w:rFonts w:eastAsia="Calibri"/>
          <w:b/>
          <w:bCs/>
          <w:lang w:eastAsia="en-US"/>
        </w:rPr>
        <w:t xml:space="preserve">»</w:t>
      </w:r>
      <w:r>
        <w:rPr>
          <w:rFonts w:eastAsia="Calibri"/>
          <w:b/>
          <w:bCs/>
          <w:lang w:eastAsia="en-US"/>
        </w:rPr>
      </w:r>
    </w:p>
    <w:p>
      <w:pPr>
        <w:ind w:right="-113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- 8 академических часов.  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- углубление знан</w:t>
      </w:r>
      <w:r>
        <w:rPr>
          <w:rFonts w:eastAsia="Calibri"/>
          <w:lang w:eastAsia="en-US"/>
        </w:rPr>
        <w:t xml:space="preserve">ий аудиторов и руководителей аудита кредитных организаций, головных кредитных организаций банковских групп, головных организаций банковских холдингов, дилеров, форекс-дилеров в отношении ОСБУ, МСФО, отчетности, налогообложения и правового законодательства.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ind w:left="10" w:right="-113" w:hanging="1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Обязательные вопросы*</w:t>
      </w:r>
      <w:r>
        <w:rPr>
          <w:rFonts w:eastAsia="Calibri"/>
          <w:lang w:eastAsia="en-US"/>
        </w:rPr>
        <w:t xml:space="preserve">  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Общая характеристика современного состояния прав</w:t>
      </w:r>
      <w:r>
        <w:rPr>
          <w:rFonts w:eastAsia="Calibri"/>
          <w:lang w:eastAsia="en-US"/>
        </w:rPr>
        <w:t xml:space="preserve">ового регулирования предмета изучаемого акта. Причины и цели принятия изучаемого акта. Концепция изучаемого акта. Круг лиц, на которых распространяется действие изучаемого акта. Место изучаемого акта в общей системе нормативных правовых актов данной отрасл</w:t>
      </w:r>
      <w:r>
        <w:rPr>
          <w:rFonts w:eastAsia="Calibri"/>
          <w:lang w:eastAsia="en-US"/>
        </w:rPr>
        <w:t xml:space="preserve">и права. Содержание изучаемого акта, его новеллы в сравнении с ранее действовавшим актом в отношении того же предмета. Порядок вступления в силу изучаемого акта и переходные положения. Последствия принятия изучаемого акта для аудируемых лиц и аудиторских о</w:t>
      </w:r>
      <w:r>
        <w:rPr>
          <w:rFonts w:eastAsia="Calibri"/>
          <w:lang w:eastAsia="en-US"/>
        </w:rPr>
        <w:t xml:space="preserve">рганизаций (аудиторов). Влияние принятия изучаемого акта на проведение аудита финансовой (бухгалтерской) отчетности кредитных организаций, головных кредитных организаций банковских групп, головных организаций банковских холдингов, дилеров, форекс-дилеров. 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*Текст данной программы отражает не содержание ее темы, а приводит алгоритм проведения курсов по вышеназванной теме, которую необходимо знать при проведении аудита. При проведении курсов повышения квалификации аудиторов должны рассматриваться все</w:t>
      </w:r>
      <w:r>
        <w:rPr>
          <w:rFonts w:eastAsia="Calibri"/>
          <w:lang w:eastAsia="en-US"/>
        </w:rPr>
        <w:t xml:space="preserve"> перечисленные вопросы по каждому изучаемому акту. Распределение академических часов по отдельным вопросам при обучении по настоящей программе производится образовательным учреждением, проводящим занятия по повышению квалификации аудиторов и руководителей </w:t>
      </w:r>
      <w:r>
        <w:rPr>
          <w:rFonts w:eastAsia="Calibri"/>
          <w:lang w:eastAsia="en-US"/>
        </w:rPr>
        <w:t xml:space="preserve">аудита кредитных организаций, головных кредитных организаций банковских групп, головных организаций банковских холдингов, дилеров, форекс-дилеров. 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lang w:eastAsia="en-US"/>
        </w:rPr>
        <w:t xml:space="preserve">  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Глубокое и детальное понимание но</w:t>
      </w:r>
      <w:r>
        <w:rPr>
          <w:rFonts w:eastAsia="Calibri"/>
          <w:lang w:eastAsia="en-US"/>
        </w:rPr>
        <w:t xml:space="preserve">рм правового акта, его применения в финансово-хозяйственной деятельности аудируемых лиц и при осуществлении аудита кредитных организаций, головных кредитных организаций банковских групп, головных организаций банковских холдингов, дилеров, форекс-дилеров.  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6-7-13 «СОВРЕМЕННЫЕ ВЫЗОВЫ В АУДИТЕ ГОЛОВНЫХ ОРГАНИЗАЦИЙ БАНКОВСКИХ ХОЛДИНГОВ: РЕГУЛЯТОРНЫЕ ИЗМЕНЕНИЯ, СРАВНИТЕЛЬНЫЙ АНАЛИЗ ФИНАНСОВОЙ ОТЧЕТНОСТИ И ОТРАСЛЕВЫЕ ТРЕНДЫ» </w:t>
      </w:r>
      <w:r>
        <w:rPr>
          <w:b/>
          <w:bCs/>
        </w:rPr>
      </w:r>
    </w:p>
    <w:p>
      <w:pPr>
        <w:jc w:val="both"/>
      </w:pPr>
      <w:r/>
      <w:r/>
    </w:p>
    <w:p>
      <w:pPr>
        <w:jc w:val="both"/>
      </w:pPr>
      <w:r>
        <w:rPr>
          <w:b/>
          <w:bCs/>
        </w:rPr>
        <w:t xml:space="preserve">Продолжительность обучения</w:t>
      </w:r>
      <w:r>
        <w:t xml:space="preserve"> - 16 академических часов.  </w:t>
      </w:r>
      <w:r/>
    </w:p>
    <w:p>
      <w:pPr>
        <w:jc w:val="both"/>
      </w:pPr>
      <w:r/>
      <w:r/>
    </w:p>
    <w:p>
      <w:pPr>
        <w:jc w:val="both"/>
      </w:pPr>
      <w:r>
        <w:rPr>
          <w:b/>
          <w:bCs/>
        </w:rPr>
        <w:t xml:space="preserve">Цель программы</w:t>
      </w:r>
      <w:r>
        <w:t xml:space="preserve"> - формирование у руководителей аудиторских заданий целостного понимания регуляторных</w:t>
      </w:r>
      <w:r>
        <w:t xml:space="preserve"> изменений и практических методов анализа финансовой отчетности банковских холдингов. Изучение инструментария для выявления ошибок и искажений в финансовой отчетности, повышения качества аналитических процедур и улучшения планирования аудиторских проверок.</w:t>
      </w:r>
      <w:r/>
    </w:p>
    <w:p>
      <w:pPr>
        <w:jc w:val="both"/>
      </w:pPr>
      <w:r>
        <w:t xml:space="preserve"> </w:t>
      </w:r>
      <w:r/>
    </w:p>
    <w:p>
      <w:pPr>
        <w:jc w:val="both"/>
        <w:rPr>
          <w:b/>
          <w:bCs/>
        </w:rPr>
      </w:pPr>
      <w:r>
        <w:rPr>
          <w:b/>
          <w:bCs/>
        </w:rPr>
        <w:t xml:space="preserve">Тема 1. Регуляторные изменения 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</w:pPr>
      <w:r>
        <w:t xml:space="preserve">Последние изменения в нормативных актах Банка России (ЦБ РФ).</w:t>
      </w:r>
      <w:r/>
    </w:p>
    <w:p>
      <w:pPr>
        <w:jc w:val="both"/>
      </w:pPr>
      <w:r>
        <w:t xml:space="preserve">Новые требования ЦБ РФ по капиталу, ликвидности и резервированию.</w:t>
      </w:r>
      <w:r/>
    </w:p>
    <w:p>
      <w:pPr>
        <w:jc w:val="both"/>
      </w:pPr>
      <w:r>
        <w:t xml:space="preserve">Требования к раскрытию информации в финансовой отчетности.</w:t>
      </w:r>
      <w:r/>
    </w:p>
    <w:p>
      <w:pPr>
        <w:jc w:val="both"/>
      </w:pPr>
      <w:r>
        <w:t xml:space="preserve">Влияние регуляторных изменений на процессы управления рисками.</w:t>
      </w:r>
      <w:r/>
    </w:p>
    <w:p>
      <w:pPr>
        <w:jc w:val="both"/>
      </w:pPr>
      <w:r>
        <w:t xml:space="preserve">Обсуждение практического примера корректирования аудиторских процедур в ответ на новые требования и выявления искажения в отчетности банковского холдинга. 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Тема 2. Сравнительный анализ показателей финансовой отчетности</w:t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</w:pPr>
      <w:r>
        <w:t xml:space="preserve">Ключевые показатели по кредитному риску: процент покрытия резервами кредитной задолженности, просроченной более 90 дней, уровень резервирования кредитной задолженности, эффективность взыскания кредитной задолженности.</w:t>
      </w:r>
      <w:r/>
    </w:p>
    <w:p>
      <w:pPr>
        <w:jc w:val="both"/>
      </w:pPr>
      <w:r>
        <w:t xml:space="preserve">Показатели розничного риска: жизненный цикл клиента, просроченная задолженность, показатели анализа кредитного качества потребительских кредитов. </w:t>
      </w:r>
      <w:r/>
    </w:p>
    <w:p>
      <w:pPr>
        <w:jc w:val="both"/>
      </w:pPr>
      <w:r>
        <w:t xml:space="preserve">Показатели эффективности головных организаций банковских холдингов: рентабельность собственного капитала, чистая процентная маржа, операционные расходы.  </w:t>
      </w:r>
      <w:r/>
    </w:p>
    <w:p>
      <w:pPr>
        <w:jc w:val="both"/>
      </w:pPr>
      <w:r>
        <w:t xml:space="preserve">Практический пример эффективного «чтения» </w:t>
      </w:r>
      <w:r>
        <w:t xml:space="preserve">финансовой отчетности: эффективность сопоставления динамики показателей для выявления аномалий и ошибок (например, несогласованность между ростом строки отчетности «кредиты и авансы клиентам» и созданием оценочных резервов под ожидаемые кредитные убытки). </w:t>
      </w:r>
      <w:r/>
    </w:p>
    <w:p>
      <w:pPr>
        <w:jc w:val="both"/>
      </w:pPr>
      <w:r>
        <w:t xml:space="preserve">Объяснение взаимосвязей в финансовой отчетности: анализ соотношений показ</w:t>
      </w:r>
      <w:r>
        <w:t xml:space="preserve">ателей как база для объяснения функционирования банковского холдинга и построения логических связей. Например, сопоставление динамики строки отчетности «процентные доходы» в разрезе финансовых активов к динамике соответствующих балансовых строк отчетности.</w:t>
      </w:r>
      <w:r/>
    </w:p>
    <w:p>
      <w:pPr>
        <w:jc w:val="both"/>
      </w:pPr>
      <w:r>
        <w:t xml:space="preserve">Использование сравнительного анализа при аналитических процедурах и оценке рисков головной организации банковского холдинга. </w:t>
      </w:r>
      <w:r/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</w:rPr>
        <w:t xml:space="preserve">Тема 3. Тренды банковского сектора, оказывающие влияние на аудит головных организаций банковских холдингов</w:t>
      </w:r>
      <w:r>
        <w:rPr>
          <w:b/>
          <w:bCs/>
        </w:rPr>
      </w:r>
    </w:p>
    <w:p>
      <w:pPr>
        <w:jc w:val="both"/>
      </w:pPr>
      <w:r/>
      <w:r/>
    </w:p>
    <w:p>
      <w:pPr>
        <w:jc w:val="both"/>
      </w:pPr>
      <w:r>
        <w:t xml:space="preserve">Клиентоцентричность</w:t>
      </w:r>
      <w:r>
        <w:t xml:space="preserve"> и экосистемы.</w:t>
      </w:r>
      <w:r/>
    </w:p>
    <w:p>
      <w:pPr>
        <w:jc w:val="both"/>
      </w:pPr>
      <w:r>
        <w:t xml:space="preserve">Искусственный интеллект и управление связанными рисками.</w:t>
      </w:r>
      <w:r/>
    </w:p>
    <w:p>
      <w:pPr>
        <w:jc w:val="both"/>
      </w:pPr>
      <w:r>
        <w:t xml:space="preserve">Импортозамещение и собственные разработки программного обеспечения.</w:t>
      </w:r>
      <w:r/>
    </w:p>
    <w:p>
      <w:pPr>
        <w:jc w:val="both"/>
      </w:pPr>
      <w:r>
        <w:t xml:space="preserve">Открытый программный интерфейс и цифровой рубль.</w:t>
      </w:r>
      <w:r/>
    </w:p>
    <w:p>
      <w:pPr>
        <w:jc w:val="both"/>
      </w:pPr>
      <w:r>
        <w:t xml:space="preserve">Кибербезопасность и технологические риски.</w:t>
      </w:r>
      <w:r/>
    </w:p>
    <w:p>
      <w:pPr>
        <w:jc w:val="both"/>
      </w:pPr>
      <w:r>
        <w:t xml:space="preserve">Рост конкуренции на фоне развития финансовых технологий и финансовых платформ.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Тема 4. Необходимость дополнительного фокуса аудита</w:t>
      </w:r>
      <w:r>
        <w:rPr>
          <w:b/>
          <w:bCs/>
        </w:rPr>
      </w:r>
    </w:p>
    <w:p>
      <w:pPr>
        <w:jc w:val="both"/>
      </w:pPr>
      <w:r/>
      <w:r/>
    </w:p>
    <w:p>
      <w:pPr>
        <w:jc w:val="both"/>
      </w:pPr>
      <w:r>
        <w:t xml:space="preserve">Проверка капитализации ИТ-инвестиций и оценки рисков собственных разработок.</w:t>
      </w:r>
      <w:r/>
    </w:p>
    <w:p>
      <w:pPr>
        <w:jc w:val="both"/>
      </w:pPr>
      <w:r>
        <w:t xml:space="preserve">Аудит надежности ИТ-контролей, </w:t>
      </w:r>
      <w:r>
        <w:t xml:space="preserve">киберустойчивости</w:t>
      </w:r>
      <w:r>
        <w:t xml:space="preserve"> и защиты данных.</w:t>
      </w:r>
      <w:r/>
    </w:p>
    <w:p>
      <w:pPr>
        <w:jc w:val="both"/>
      </w:pPr>
      <w:r>
        <w:t xml:space="preserve">Проверка корректности отражения расходов на цифровизацию и инновации.</w:t>
      </w:r>
      <w:r/>
    </w:p>
    <w:p>
      <w:pPr>
        <w:jc w:val="both"/>
      </w:pPr>
      <w:r>
        <w:t xml:space="preserve">Анализ влияния цифрового рубля и новых платёжных моделей на отчетность.</w:t>
      </w:r>
      <w:r/>
    </w:p>
    <w:p>
      <w:pPr>
        <w:jc w:val="both"/>
      </w:pPr>
      <w:r>
        <w:t xml:space="preserve">Учет экосистемного подхода и связанных нефинансовых потоков в аналитических процедурах.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rPr>
          <w:b/>
          <w:bCs/>
        </w:rPr>
        <w:t xml:space="preserve">Результат обучения</w:t>
      </w:r>
      <w:r>
        <w:rPr>
          <w:b/>
          <w:bCs/>
        </w:rPr>
      </w:r>
    </w:p>
    <w:p>
      <w:pPr>
        <w:jc w:val="both"/>
      </w:pPr>
      <w:r/>
      <w:r/>
    </w:p>
    <w:p>
      <w:pPr>
        <w:jc w:val="both"/>
      </w:pPr>
      <w:r>
        <w:t xml:space="preserve">Понимание регуляторных требований и умение выявлять логические несоответствия в финансовой отчетности. Глубокое и детальное понимание показателей финансовой отчетности банковских холдингов и умение их интерпретировать, устанавливать взаимосвязи, </w:t>
      </w:r>
      <w:r>
        <w:t xml:space="preserve">находить аномалии и возможные ошибки. Умение применять сравнительный анализ для сопоставления показателей с отраслевыми тенденциями и нормами. Умение своевременно выявлять скрытые риски и корректировать подход с учётом технологических и рыночных изменений.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Раздел 8. Программы повышения квалификации по тематике экономической деятельности: бюро кредитных историй</w:t>
      </w:r>
      <w:r>
        <w:rPr>
          <w:b/>
          <w:bCs/>
          <w:sz w:val="28"/>
          <w:szCs w:val="28"/>
        </w:rPr>
      </w:r>
    </w:p>
    <w:p>
      <w:pPr>
        <w:ind w:firstLine="8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8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24" w:right="26" w:hanging="10"/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6-8-01 «ПОРЯДОК БУХГАЛТЕРСКОГО УЧЕТА И ФИНАНСОВОЙ ОТЧЕТНОСТИ НЕКРЕДИТНЫХ ФИНАНСОВЫХ ОРГАНИЗАЦИЙ. АУДИТ. (НФО)»</w:t>
      </w:r>
      <w:r>
        <w:rPr>
          <w:rFonts w:eastAsia="Calibri"/>
          <w:b/>
          <w:lang w:eastAsia="en-US"/>
        </w:rPr>
      </w:r>
    </w:p>
    <w:p>
      <w:pPr>
        <w:ind w:left="24" w:right="26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24" w:right="748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40 академических часов.  </w:t>
      </w:r>
      <w:r>
        <w:rPr>
          <w:rFonts w:eastAsia="Calibri"/>
          <w:lang w:eastAsia="en-US"/>
        </w:rPr>
      </w:r>
    </w:p>
    <w:p>
      <w:pPr>
        <w:ind w:left="24" w:right="748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14" w:right="-1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 - </w:t>
      </w:r>
      <w:r>
        <w:rPr>
          <w:rFonts w:eastAsia="Calibri"/>
          <w:lang w:eastAsia="en-US"/>
        </w:rPr>
        <w:t xml:space="preserve">обучение финансовых специалистов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 (НФО): единый план счетов и отраслевые стандарты бухгалтерского учета, бухгалтерской (финансовой) отчетности.  </w:t>
      </w:r>
      <w:r>
        <w:rPr>
          <w:rFonts w:eastAsia="Calibri"/>
          <w:lang w:eastAsia="en-US"/>
        </w:rPr>
      </w:r>
    </w:p>
    <w:p>
      <w:pPr>
        <w:ind w:left="14" w:right="-1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24" w:right="748" w:hanging="10"/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</w:t>
      </w:r>
      <w:r>
        <w:rPr>
          <w:rFonts w:eastAsia="Arial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Банк России как мегарегулятор финансового рынка</w:t>
      </w:r>
      <w:r>
        <w:rPr>
          <w:rFonts w:eastAsia="Calibri"/>
          <w:b/>
          <w:lang w:eastAsia="en-US"/>
        </w:rPr>
      </w:r>
    </w:p>
    <w:p>
      <w:pPr>
        <w:ind w:left="24" w:right="748" w:hanging="10"/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0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Полномочия Центрального банка Российской Федерации по регулированию, контролю и надзору в сфере финансовых рынков. Планы по распространению полномочий Банка России на лизинговый сектор. </w:t>
      </w:r>
      <w:r>
        <w:rPr>
          <w:rFonts w:eastAsia="Calibri"/>
          <w:lang w:eastAsia="en-US"/>
        </w:rPr>
      </w:r>
    </w:p>
    <w:p>
      <w:pPr>
        <w:numPr>
          <w:ilvl w:val="0"/>
          <w:numId w:val="20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Унификация требований Банка России к бухгалтерской (финансовой) отчетности участников финансового рынка. Единый план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 xml:space="preserve">счетов бухгалтерского учета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 xml:space="preserve">и отраслевые стандарты бухгалтерского учета для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numPr>
          <w:ilvl w:val="0"/>
          <w:numId w:val="20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МСФО — методологическая основа для разработки отраслевых стандартов бухгалтерского учета кредитных 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ind w:right="-1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right="-1"/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Правила ведения бухгалтерского учета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</w:t>
      </w:r>
      <w:r>
        <w:rPr>
          <w:rFonts w:eastAsia="Calibri"/>
          <w:b/>
          <w:lang w:eastAsia="en-US"/>
        </w:rPr>
      </w:r>
    </w:p>
    <w:p>
      <w:pPr>
        <w:ind w:right="-1"/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18"/>
        </w:numPr>
        <w:contextualSpacing/>
        <w:ind w:left="284" w:hanging="284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Основные принципы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</w:t>
      </w:r>
      <w:r>
        <w:rPr>
          <w:rFonts w:eastAsia="Calibri"/>
          <w:lang w:eastAsia="en-US"/>
        </w:rPr>
      </w:r>
    </w:p>
    <w:p>
      <w:pPr>
        <w:numPr>
          <w:ilvl w:val="0"/>
          <w:numId w:val="18"/>
        </w:numPr>
        <w:contextualSpacing/>
        <w:ind w:left="284" w:hanging="284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Единый план счетов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организациях: его структура и схема перехода с используемого ранее общего плана счетов бухгалтерского учета. </w:t>
      </w:r>
      <w:r>
        <w:rPr>
          <w:rFonts w:eastAsia="Calibri"/>
          <w:lang w:eastAsia="en-US"/>
        </w:rPr>
      </w:r>
    </w:p>
    <w:p>
      <w:pPr>
        <w:numPr>
          <w:ilvl w:val="0"/>
          <w:numId w:val="18"/>
        </w:numPr>
        <w:contextualSpacing/>
        <w:ind w:left="284" w:right="-1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Виды счетов: балансовые и </w:t>
      </w:r>
      <w:r>
        <w:rPr>
          <w:rFonts w:eastAsia="Calibri"/>
          <w:lang w:eastAsia="en-US"/>
        </w:rPr>
        <w:t xml:space="preserve">внебалансовые</w:t>
      </w:r>
      <w:r>
        <w:rPr>
          <w:rFonts w:eastAsia="Calibri"/>
          <w:lang w:eastAsia="en-US"/>
        </w:rPr>
        <w:t xml:space="preserve">; счета первого и второго порядка; активные, пассивные и счета без признаков счета; счета доверительного управления; счета по учету требований и обязательств по пр</w:t>
      </w:r>
      <w:r>
        <w:rPr>
          <w:rFonts w:eastAsia="Calibri"/>
          <w:lang w:eastAsia="en-US"/>
        </w:rPr>
        <w:t xml:space="preserve">оизводным финансовым инструментам и прочим договорам, по которым расчеты и поставка осуществляются не ранее следующего дня. Характеристика счетов: назначение счета, применение и корреспонденция, особенности использования, организация аналитического учета. </w:t>
      </w:r>
      <w:r>
        <w:rPr>
          <w:rFonts w:eastAsia="Calibri"/>
          <w:lang w:eastAsia="en-US"/>
        </w:rPr>
      </w:r>
    </w:p>
    <w:p>
      <w:pPr>
        <w:numPr>
          <w:ilvl w:val="0"/>
          <w:numId w:val="18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Организация работы по ведению бухгалтерского учета. Аналитический и синтетический учет. Система нумерации аналитических (лицевых) счетов. Регистры аналитического и синтетического бухгалтерского учета. Порядок учета доходов и расходов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 Процедура закрытия отчетного года. </w:t>
      </w:r>
      <w:r>
        <w:rPr>
          <w:rFonts w:eastAsia="Calibri"/>
          <w:lang w:eastAsia="en-US"/>
        </w:rPr>
      </w:r>
    </w:p>
    <w:p>
      <w:pPr>
        <w:numPr>
          <w:ilvl w:val="0"/>
          <w:numId w:val="18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и отражение в учете доходов, расходов и прочего совокупного дохода. </w:t>
      </w:r>
      <w:r>
        <w:rPr>
          <w:rFonts w:eastAsia="Calibri"/>
          <w:lang w:eastAsia="en-US"/>
        </w:rPr>
      </w:r>
    </w:p>
    <w:p>
      <w:pPr>
        <w:contextualSpacing/>
        <w:ind w:left="36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right="-1"/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3. Порядок бухгалтерского учета операций с ценными бумагами и производными финансовыми инструментами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 в соответствии с общими отраслевыми стандартами бухгалтерского учета</w:t>
      </w:r>
      <w:r>
        <w:rPr>
          <w:rFonts w:eastAsia="Calibri"/>
          <w:b/>
          <w:lang w:eastAsia="en-US"/>
        </w:rPr>
      </w:r>
    </w:p>
    <w:p>
      <w:pPr>
        <w:ind w:right="-1"/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1"/>
        </w:numPr>
        <w:contextualSpacing/>
        <w:ind w:left="284" w:hanging="284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активных операций с ценными бумагами: приобретение, классификация, первоначальная и последующая оценка, </w:t>
      </w:r>
      <w:r>
        <w:rPr>
          <w:rFonts w:eastAsia="Calibri"/>
          <w:lang w:eastAsia="en-US"/>
        </w:rPr>
        <w:t xml:space="preserve">реклассификация</w:t>
      </w:r>
      <w:r>
        <w:rPr>
          <w:rFonts w:eastAsia="Calibri"/>
          <w:lang w:eastAsia="en-US"/>
        </w:rPr>
        <w:t xml:space="preserve"> из категории в категорию, выбытие.</w:t>
      </w:r>
      <w:r>
        <w:rPr>
          <w:rFonts w:eastAsia="Calibri"/>
          <w:lang w:eastAsia="en-US"/>
        </w:rPr>
      </w:r>
    </w:p>
    <w:p>
      <w:pPr>
        <w:numPr>
          <w:ilvl w:val="0"/>
          <w:numId w:val="21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приобретенных ценных бумаг, оцениваемых по справедливой стоимости через прибыль или убыток, а также оцениваемых по справедливой стоимости через прочий совокупный доход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numPr>
          <w:ilvl w:val="0"/>
          <w:numId w:val="21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Сделки РЕПО: порядок учета у первоначального покупателя и первоначального продавца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numPr>
          <w:ilvl w:val="0"/>
          <w:numId w:val="21"/>
        </w:numPr>
        <w:contextualSpacing/>
        <w:ind w:left="284" w:right="-1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производных финансовых инструментов: поставочных и расчетных.</w:t>
      </w:r>
      <w:r>
        <w:rPr>
          <w:rFonts w:eastAsia="Calibri"/>
          <w:lang w:eastAsia="en-US"/>
        </w:rPr>
      </w:r>
    </w:p>
    <w:p>
      <w:pPr>
        <w:numPr>
          <w:ilvl w:val="0"/>
          <w:numId w:val="21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Отражение в учете форвардного поставочного контракта, форвардного расчетного контракта, опциона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numPr>
          <w:ilvl w:val="0"/>
          <w:numId w:val="21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Порядок отражения на счетах бухгалтерского учета кредитными организациями операций хеджирования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4. Порядок бухгалтерского учета операций по размещению денежных средств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2"/>
        </w:numPr>
        <w:contextualSpacing/>
        <w:ind w:left="284" w:right="-1" w:hanging="284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операций по размещению денежных средств </w:t>
      </w:r>
      <w:r>
        <w:rPr>
          <w:rFonts w:eastAsia="Calibri"/>
          <w:lang w:eastAsia="en-US"/>
        </w:rPr>
        <w:t xml:space="preserve">по договорам займа и договорам банковского вклада. учет по амортизированной стоимости: применение метода эффективной процентной ставки, начисление процентных доходов, корректировка до амортизированной стоимости; методы расчета амортизированной стоимости в </w:t>
      </w:r>
      <w:r>
        <w:rPr>
          <w:rFonts w:eastAsia="Calibri"/>
          <w:lang w:eastAsia="en-US"/>
        </w:rPr>
        <w:t xml:space="preserve">соответствии с МСФО (IFRS) 9. Рыночные и нерыночные процентные ставки. Источники получения информации.</w:t>
      </w:r>
      <w:r>
        <w:rPr>
          <w:rFonts w:eastAsia="Calibri"/>
          <w:lang w:eastAsia="en-US"/>
        </w:rPr>
      </w:r>
    </w:p>
    <w:p>
      <w:pPr>
        <w:numPr>
          <w:ilvl w:val="0"/>
          <w:numId w:val="22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Расчет амортизированной стоимости и определение балансовой стоимости финансового актива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numPr>
          <w:ilvl w:val="0"/>
          <w:numId w:val="22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Оценочный резерв под обесценение. Признаки обесценения. Определение актива как кредитно-обесцененного при первоначальном признании. Ожидаемые кредитные убытки и методы их оценки. Кред</w:t>
      </w:r>
      <w:r>
        <w:rPr>
          <w:rFonts w:eastAsia="Calibri"/>
          <w:lang w:eastAsia="en-US"/>
        </w:rPr>
        <w:t xml:space="preserve">итные риски и признаки их значительного увеличения. Определение дефолта и его признаки. Изменение методов оценки ожидаемых кредитных убытков при значительном увеличении кредитного риска, риска дефолта. Оценка риска на групповой основе (портфельный подход).</w:t>
      </w:r>
      <w:r>
        <w:rPr>
          <w:rFonts w:eastAsia="Calibri"/>
          <w:lang w:eastAsia="en-US"/>
        </w:rPr>
      </w:r>
    </w:p>
    <w:p>
      <w:p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5. Порядок бухгалтерского учета обязательств в отдельных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 в соответствии с общими отраслевыми стандартами бухгалтерского учета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3"/>
        </w:numPr>
        <w:contextualSpacing/>
        <w:ind w:left="284" w:hanging="284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операций по привлечению денежных средств по договорам займа и кредитным договорам, операций по выпуску и погашению облигаций и векселей.  Определение амортизированной стоимости финансовых обязательств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numPr>
          <w:ilvl w:val="0"/>
          <w:numId w:val="23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отложенных налоговых обязательств и отложенных налоговых активов.</w:t>
      </w:r>
      <w:r>
        <w:rPr>
          <w:rFonts w:eastAsia="Calibri"/>
          <w:lang w:eastAsia="en-US"/>
        </w:rPr>
      </w:r>
    </w:p>
    <w:p>
      <w:pPr>
        <w:numPr>
          <w:ilvl w:val="0"/>
          <w:numId w:val="23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Расчет отложенных налоговых активов и отложенных налоговых обязательств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numPr>
          <w:ilvl w:val="0"/>
          <w:numId w:val="23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резервов – оценочных обязательств и условных обязательств.</w:t>
      </w:r>
      <w:r>
        <w:rPr>
          <w:rFonts w:eastAsia="Calibri"/>
          <w:lang w:eastAsia="en-US"/>
        </w:rPr>
      </w:r>
    </w:p>
    <w:p>
      <w:pPr>
        <w:numPr>
          <w:ilvl w:val="0"/>
          <w:numId w:val="23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вознаграждений работникам.</w:t>
      </w:r>
      <w:r>
        <w:rPr>
          <w:rFonts w:eastAsia="Calibri"/>
          <w:lang w:eastAsia="en-US"/>
        </w:rPr>
      </w:r>
    </w:p>
    <w:p>
      <w:pPr>
        <w:contextualSpacing/>
        <w:ind w:left="108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6. Порядок бухгалтерского учета нефинансовых активов в отдельных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 в соответствии с общими отраслевыми стандартами бухгалтерского учета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4"/>
        </w:numPr>
        <w:contextualSpacing/>
        <w:ind w:left="284" w:hanging="284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основных средств, нематериальных активов.</w:t>
      </w:r>
      <w:r>
        <w:rPr>
          <w:rFonts w:eastAsia="Calibri"/>
          <w:lang w:eastAsia="en-US"/>
        </w:rPr>
      </w:r>
    </w:p>
    <w:p>
      <w:pPr>
        <w:numPr>
          <w:ilvl w:val="0"/>
          <w:numId w:val="24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инвестиционного имущества. </w:t>
      </w:r>
      <w:r>
        <w:rPr>
          <w:rFonts w:eastAsia="Calibri"/>
          <w:lang w:eastAsia="en-US"/>
        </w:rPr>
      </w:r>
    </w:p>
    <w:p>
      <w:pPr>
        <w:numPr>
          <w:ilvl w:val="0"/>
          <w:numId w:val="24"/>
        </w:numPr>
        <w:contextualSpacing/>
        <w:ind w:left="284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долгосрочных активов, предназначенных для продажи. </w:t>
      </w:r>
      <w:r>
        <w:rPr>
          <w:rFonts w:eastAsia="Calibri"/>
          <w:lang w:eastAsia="en-US"/>
        </w:rPr>
      </w:r>
    </w:p>
    <w:p>
      <w:pPr>
        <w:numPr>
          <w:ilvl w:val="0"/>
          <w:numId w:val="24"/>
        </w:numPr>
        <w:contextualSpacing/>
        <w:ind w:left="284" w:right="-1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запасов, полученных по договорам отступного, залога, назначение которых не определено.</w:t>
      </w:r>
      <w:r>
        <w:rPr>
          <w:rFonts w:eastAsia="Calibri"/>
          <w:lang w:eastAsia="en-US"/>
        </w:rPr>
      </w:r>
    </w:p>
    <w:p>
      <w:pPr>
        <w:numPr>
          <w:ilvl w:val="0"/>
          <w:numId w:val="24"/>
        </w:numPr>
        <w:contextualSpacing/>
        <w:ind w:left="284" w:right="-1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Учет договоров аренды.</w:t>
      </w:r>
      <w:r>
        <w:rPr>
          <w:rFonts w:eastAsia="Calibri"/>
          <w:lang w:eastAsia="en-US"/>
        </w:rPr>
      </w:r>
    </w:p>
    <w:p>
      <w:pPr>
        <w:contextualSpacing/>
        <w:ind w:left="1080" w:right="-1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right="-1"/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7. Составление и представление бухгалтерской (финансовой) отчетности </w:t>
      </w:r>
      <w:r>
        <w:rPr>
          <w:rFonts w:eastAsia="Calibri"/>
          <w:b/>
          <w:lang w:eastAsia="en-US"/>
        </w:rPr>
        <w:t xml:space="preserve">некредитными</w:t>
      </w:r>
      <w:r>
        <w:rPr>
          <w:rFonts w:eastAsia="Calibri"/>
          <w:b/>
          <w:lang w:eastAsia="en-US"/>
        </w:rPr>
        <w:t xml:space="preserve"> финансовыми организациями</w:t>
      </w:r>
      <w:r>
        <w:rPr>
          <w:rFonts w:eastAsia="Calibri"/>
          <w:b/>
          <w:lang w:eastAsia="en-US"/>
        </w:rPr>
      </w:r>
    </w:p>
    <w:p>
      <w:pPr>
        <w:ind w:right="-1"/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5"/>
        </w:numPr>
        <w:contextualSpacing/>
        <w:ind w:left="284" w:right="-1" w:hanging="284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Общие подходы к составлению бухгалтерской (финансовой) отчетности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организациями. Порядок закрытия отчетного года: учет событий после отчетной даты.</w:t>
      </w:r>
      <w:r>
        <w:rPr>
          <w:rFonts w:eastAsia="Calibri"/>
          <w:lang w:eastAsia="en-US"/>
        </w:rPr>
      </w:r>
    </w:p>
    <w:p>
      <w:pPr>
        <w:numPr>
          <w:ilvl w:val="0"/>
          <w:numId w:val="25"/>
        </w:numPr>
        <w:contextualSpacing/>
        <w:ind w:left="284" w:right="-1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Годо</w:t>
      </w:r>
      <w:r>
        <w:rPr>
          <w:rFonts w:eastAsia="Calibri"/>
          <w:lang w:eastAsia="en-US"/>
        </w:rPr>
        <w:t xml:space="preserve">вая и промежуточная бухгалтерская (финансовая) отчетность. Состав годовой бухгалтерской (финансовой) отчетности: бухгалтерский баланс, отчет о финансовых результатах, отчет об изменениях собственного капитала, отчет о движении денежных средств, примечания.</w:t>
      </w:r>
      <w:r>
        <w:rPr>
          <w:rFonts w:eastAsia="Calibri"/>
          <w:lang w:eastAsia="en-US"/>
        </w:rPr>
      </w:r>
    </w:p>
    <w:p>
      <w:pPr>
        <w:numPr>
          <w:ilvl w:val="0"/>
          <w:numId w:val="25"/>
        </w:numPr>
        <w:contextualSpacing/>
        <w:ind w:left="284" w:right="-1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Порядок формирования бухгалтерской (финансовой) отчетности профессиональным участником рынка ценных бумаг и микрофинансовой организацией.</w:t>
      </w:r>
      <w:r>
        <w:rPr>
          <w:rFonts w:eastAsia="Calibri"/>
          <w:lang w:eastAsia="en-US"/>
        </w:rPr>
      </w:r>
    </w:p>
    <w:p>
      <w:pPr>
        <w:numPr>
          <w:ilvl w:val="0"/>
          <w:numId w:val="25"/>
        </w:numPr>
        <w:contextualSpacing/>
        <w:ind w:left="284" w:right="-1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Представление бухгалтерской (финансовой) отчетности в Банк России.  Исправление данных в отчетности. Отраслевой стандарт бухгалтерского учета «Порядок исправления </w:t>
      </w:r>
      <w:r>
        <w:rPr>
          <w:rFonts w:eastAsia="Calibri"/>
          <w:lang w:eastAsia="en-US"/>
        </w:rPr>
        <w:t xml:space="preserve">ошибок в бухгалтерском учете и бухгалтерской (финансовой) отчетности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организациями».</w:t>
      </w:r>
      <w:r>
        <w:rPr>
          <w:rFonts w:eastAsia="Calibri"/>
          <w:lang w:eastAsia="en-US"/>
        </w:rPr>
      </w:r>
    </w:p>
    <w:p>
      <w:pPr>
        <w:numPr>
          <w:ilvl w:val="0"/>
          <w:numId w:val="25"/>
        </w:numPr>
        <w:contextualSpacing/>
        <w:ind w:left="284" w:right="-1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Публикация бухгалтерской (финансовой) отчетности.  </w:t>
      </w:r>
      <w:r>
        <w:rPr>
          <w:rFonts w:eastAsia="Calibri"/>
          <w:lang w:eastAsia="en-US"/>
        </w:rPr>
      </w:r>
    </w:p>
    <w:p>
      <w:pPr>
        <w:numPr>
          <w:ilvl w:val="0"/>
          <w:numId w:val="25"/>
        </w:numPr>
        <w:contextualSpacing/>
        <w:ind w:left="284" w:right="-1" w:hanging="284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Обязательный аудит, аудиторское заключение по годовой бухгалтерской (финансовой) отчетности.  </w:t>
      </w:r>
      <w:r>
        <w:rPr>
          <w:rFonts w:eastAsia="Calibri"/>
          <w:lang w:eastAsia="en-US"/>
        </w:rPr>
      </w:r>
    </w:p>
    <w:p>
      <w:pPr>
        <w:contextualSpacing/>
        <w:ind w:left="284" w:right="-1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right="-1"/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8. Роль Банка России в организации проведения обязательного аудита бухгалтерской (финансовой) отчетности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организаций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2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Полномочия Банка России и регулирование им вопросов проведения обязательного аудита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 Банком России.</w:t>
      </w:r>
      <w:r>
        <w:rPr>
          <w:rFonts w:eastAsia="Calibri"/>
          <w:lang w:eastAsia="en-US"/>
        </w:rPr>
      </w:r>
    </w:p>
    <w:p>
      <w:pPr>
        <w:numPr>
          <w:ilvl w:val="0"/>
          <w:numId w:val="2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Доп</w:t>
      </w:r>
      <w:r>
        <w:rPr>
          <w:rFonts w:eastAsia="Calibri"/>
          <w:lang w:eastAsia="en-US"/>
        </w:rPr>
        <w:t xml:space="preserve">олнительные требования 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законами.</w:t>
      </w:r>
      <w:r>
        <w:rPr>
          <w:rFonts w:eastAsia="Calibri"/>
          <w:lang w:eastAsia="en-US"/>
        </w:rPr>
      </w:r>
    </w:p>
    <w:p>
      <w:pPr>
        <w:numPr>
          <w:ilvl w:val="0"/>
          <w:numId w:val="2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Право Банка России на обжалование аудиторского заключения. Решение Банка России о признании аудиторского заключения ненадлежащим в обстоятельствах согласно стандартам аудиторской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26"/>
        </w:numPr>
        <w:contextualSpacing/>
        <w:ind w:right="-1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Требования к аудиторской организации для проведения обязательного аудита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numPr>
          <w:ilvl w:val="0"/>
          <w:numId w:val="2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Порядок заключения договора на проведения обязательного аудита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numPr>
          <w:ilvl w:val="0"/>
          <w:numId w:val="26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Информационное взаимодействие аудиторской организации и Банка России в ходе проведения обязательного аудита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организаций: содержание, порядок осуществления.</w:t>
      </w:r>
      <w:r>
        <w:rPr>
          <w:rFonts w:eastAsia="Calibri"/>
          <w:lang w:eastAsia="en-US"/>
        </w:rPr>
      </w:r>
    </w:p>
    <w:p>
      <w:pPr>
        <w:contextualSpacing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ind w:left="14" w:right="-1"/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 xml:space="preserve">Глубокое понимание специфики бухгалтерского учета и аудита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организации. Знание и умение применять при аудите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 норм федерального законодательства, подзаконных нормативных правовых актов, в том числе нормативных актов Банков России, регулирующих деятельность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Theme="minorHAnsi"/>
          <w:lang w:eastAsia="en-US"/>
        </w:rPr>
        <w:t xml:space="preserve">  </w:t>
      </w:r>
      <w:r>
        <w:rPr>
          <w:rFonts w:eastAsiaTheme="minorHAnsi"/>
          <w:lang w:eastAsia="en-US"/>
        </w:rPr>
      </w:r>
    </w:p>
    <w:p>
      <w:pPr>
        <w:ind w:left="14" w:right="-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ind w:left="24" w:right="-113" w:hanging="1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left="10" w:right="-113" w:hanging="10"/>
        <w:jc w:val="both"/>
        <w:rPr>
          <w:rFonts w:eastAsia="Calibri"/>
          <w:b/>
        </w:rPr>
      </w:pPr>
      <w:r>
        <w:rPr>
          <w:b/>
        </w:rPr>
        <w:t xml:space="preserve">6-8-02 </w:t>
      </w:r>
      <w:r>
        <w:rPr>
          <w:rFonts w:eastAsia="Calibri"/>
          <w:b/>
          <w:lang w:eastAsia="en-US"/>
        </w:rPr>
        <w:t xml:space="preserve">«АКТУАЛЬНЫЕ ВОПРОСЫ ПРИМЕНЕНИЯ</w:t>
      </w:r>
      <w:r>
        <w:rPr>
          <w:rFonts w:eastAsia="Calibri"/>
          <w:b/>
        </w:rPr>
        <w:t xml:space="preserve"> </w:t>
      </w:r>
      <w:r>
        <w:rPr>
          <w:rFonts w:eastAsia="Calibri"/>
          <w:b/>
          <w:lang w:eastAsia="en-US"/>
        </w:rPr>
        <w:t xml:space="preserve">ОТРАСЛЕВЫХ СТАНДАРТОВ БУХГАЛТЕРСКОГО УЧЕТА, МСФО,</w:t>
      </w:r>
      <w:r>
        <w:rPr>
          <w:rFonts w:eastAsia="Calibri"/>
          <w:b/>
        </w:rPr>
        <w:t xml:space="preserve"> ПОСЛЕДНИЕ ИЗМЕНЕНИЯ В НАЛОГООБЛОЖЕНИИ И ЗАКОНОДАТЕЛЬСТВЕ ПРИ АУДИТЕ БЮРО КРЕДИТНЫХ ИСТОРИЙ»</w:t>
      </w:r>
      <w:r>
        <w:rPr>
          <w:rFonts w:eastAsia="Calibri"/>
          <w:b/>
        </w:rPr>
      </w:r>
    </w:p>
    <w:p>
      <w:pPr>
        <w:ind w:left="10" w:right="-113" w:hanging="10"/>
        <w:jc w:val="both"/>
        <w:rPr>
          <w:rFonts w:eastAsia="Calibri"/>
          <w:b/>
        </w:rPr>
      </w:pPr>
      <w:r>
        <w:rPr>
          <w:rFonts w:eastAsia="Calibri"/>
          <w:b/>
        </w:rPr>
      </w:r>
      <w:r>
        <w:rPr>
          <w:rFonts w:eastAsia="Calibri"/>
          <w:b/>
        </w:rPr>
      </w:r>
    </w:p>
    <w:p>
      <w:pPr>
        <w:ind w:left="10" w:right="-113" w:hanging="10"/>
        <w:jc w:val="both"/>
      </w:pPr>
      <w:r>
        <w:rPr>
          <w:b/>
        </w:rPr>
        <w:t xml:space="preserve">Продолжительность обучения</w:t>
      </w:r>
      <w:r>
        <w:t xml:space="preserve"> - 8 академических часов.  </w:t>
      </w:r>
      <w:r/>
    </w:p>
    <w:p>
      <w:pPr>
        <w:ind w:left="10" w:right="-113" w:hanging="10"/>
        <w:jc w:val="both"/>
      </w:pPr>
      <w:r/>
      <w:r/>
    </w:p>
    <w:p>
      <w:pPr>
        <w:jc w:val="both"/>
        <w:rPr>
          <w:b/>
        </w:rPr>
      </w:pPr>
      <w:r>
        <w:rPr>
          <w:b/>
        </w:rPr>
        <w:t xml:space="preserve">Цель программы</w:t>
      </w:r>
      <w:r>
        <w:t xml:space="preserve"> - углубление знаний аудиторов и руководителей аудита бюро кредитных историй в отношении ОСБУ, МСФО, отчетности, налогообложения и правового законодательства.</w:t>
      </w:r>
      <w:r>
        <w:rPr>
          <w:b/>
        </w:rPr>
      </w:r>
    </w:p>
    <w:p>
      <w:pPr>
        <w:ind w:right="-113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Обязательные вопросы*</w:t>
      </w:r>
      <w:r>
        <w:t xml:space="preserve">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t xml:space="preserve">Общая характеристика современного состояния правового регулирования предмета изучаемого акта. Причины и цели принятия изучаемого акта. Концепция изучаемого акта. </w:t>
      </w:r>
      <w:r>
        <w:t xml:space="preserve">Круг лиц, на которых распр</w:t>
      </w:r>
      <w:r>
        <w:t xml:space="preserve">остраняется действие изучаемого акта. Место изучаемого акта в общей системе нормативных правовых актов данной отрасли права. Содержание изучаемого акта, его новеллы в сравнении с ранее действовавшим актом в отношении того же предмета. Порядок вступления в </w:t>
      </w:r>
      <w:r>
        <w:t xml:space="preserve">силу изучаемого акта и переходные положения. Последствия принятия изучаемого акта для аудируемых лиц и аудиторских организаций (аудиторов). Влияние принятия изучаемого акта на проведение аудита финансовой (бухгалтерской) отчетности бюро кредитных историй. </w:t>
      </w:r>
      <w:r/>
    </w:p>
    <w:p>
      <w:pPr>
        <w:ind w:left="10" w:right="-113" w:hanging="10"/>
        <w:jc w:val="both"/>
      </w:pPr>
      <w:r>
        <w:t xml:space="preserve"> *Текст данной программ</w:t>
      </w:r>
      <w:r>
        <w:t xml:space="preserve">ы отражает не содержание ее темы, а приводит алгоритм проведения курсов по вышеназванной теме, которую необходимо знать при проведении аудита. При проведении курсов повышения квалификации аудиторов должны рассматриваться все перечисленные вопросы по каждом</w:t>
      </w:r>
      <w:r>
        <w:t xml:space="preserve">у изучаемому акту. Распределение академических часов по отдельным вопросам при обучении по настоящей программе производится образовательным учреждением, проводящим занятия по повышению квалификации аудиторов и руководителей аудита бюро кредитных историй.  </w:t>
      </w:r>
      <w:r/>
    </w:p>
    <w:p>
      <w:pPr>
        <w:ind w:left="10" w:right="-113" w:hanging="10"/>
        <w:jc w:val="both"/>
      </w:pPr>
      <w:r/>
      <w:r/>
    </w:p>
    <w:p>
      <w:pPr>
        <w:ind w:left="10" w:right="-113" w:hanging="10"/>
        <w:jc w:val="both"/>
      </w:pPr>
      <w:r>
        <w:rPr>
          <w:b/>
        </w:rPr>
        <w:t xml:space="preserve">Результат обучения</w:t>
      </w:r>
      <w:r>
        <w:t xml:space="preserve"> </w:t>
      </w:r>
      <w:r/>
    </w:p>
    <w:p>
      <w:pPr>
        <w:ind w:left="10" w:right="-113" w:hanging="10"/>
        <w:jc w:val="both"/>
      </w:pPr>
      <w:r>
        <w:t xml:space="preserve"> </w:t>
      </w:r>
      <w:r/>
    </w:p>
    <w:p>
      <w:pPr>
        <w:ind w:left="10" w:right="-113" w:hanging="10"/>
        <w:jc w:val="both"/>
      </w:pPr>
      <w:r>
        <w:t xml:space="preserve">Глубокое и детальное понимание норм правового акта, его применения в финансово-хозяйственной деятельности аудируемых лиц и при осуществлении аудита бюро кредитных историй.  </w:t>
      </w:r>
      <w:r/>
    </w:p>
    <w:p>
      <w:pPr>
        <w:ind w:firstLine="83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83"/>
        <w:jc w:val="both"/>
        <w:rPr>
          <w:b/>
        </w:rPr>
      </w:pPr>
      <w:r>
        <w:rPr>
          <w:b/>
        </w:rPr>
      </w:r>
      <w:bookmarkEnd w:id="2"/>
      <w:r>
        <w:rPr>
          <w:b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6-8-03 «ПРАКТИКА ПРИМЕНЕНИЯ МСА: ФОРМИРОВАНИЕ АУДИТОРСКОГО ЗАКЛЮЧЕНИЯ НЕКРЕДИТНЫХ ФИНАНСОВЫХ ОРГАНИЗАЦИЙ, БЮРО КРЕДИТНЫХ ИСТОРИЙ»</w:t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4 академических часа.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Цель </w:t>
      </w:r>
      <w:r>
        <w:rPr>
          <w:rFonts w:eastAsia="Calibri"/>
          <w:b/>
          <w:bCs/>
          <w:lang w:eastAsia="en-US"/>
        </w:rPr>
        <w:t xml:space="preserve">программы</w:t>
      </w:r>
      <w:r>
        <w:rPr>
          <w:rFonts w:eastAsia="Calibri"/>
          <w:lang w:eastAsia="en-US"/>
        </w:rPr>
        <w:t xml:space="preserve"> - углубление знаний аудиторов и руководителей аудита общественно значимых организаций, желающих специализироваться на аудите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организаций, бюро кредитных историй, особенностей деятельности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организаций, бюро кредитных историй.</w:t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Особенности аудита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организаций  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Анализ исполнения положений внутреннего контроля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организацией должностным лицом/контролером/службой внутреннего контроля.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Выявление операций, имеющих при</w:t>
      </w:r>
      <w:r>
        <w:rPr>
          <w:rFonts w:eastAsia="Calibri"/>
          <w:lang w:eastAsia="en-US"/>
        </w:rPr>
        <w:t xml:space="preserve">знаки схемного характера и направленных на выполнение требований к собственным средствам (капиталу) или чистым активам, а также обязательных (финансовых, экономических) нормативов; правомерность признания доходов и расходов; повышенная концентрация рисков.</w:t>
      </w:r>
      <w:r>
        <w:rPr>
          <w:rFonts w:eastAsia="Calibri"/>
          <w:b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Объекты ежегодного аудита негосударственного пенсионного фонда, сроки проведения аудита.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аудиторского задания и аудиторского заключения в связи с реорганизацией негосударственного пенсионного фонда.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состава, стоимости и структуры активов, в которые инвестированы (размещены) собственные средства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организации, пенсионные резервы и пенсионные накопления (для негосударственных пенсионных фондов), а также темпы изменения объемов совершаемых операций; величины активов и пассивов, собственных средств, доходов и расходов.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установленного в учетной политике порядка формирования резервов под обесценение и обоснованность восстановления их.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Анализ порядка определения справедливой стоимости активов с учетом положений внутренних документов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аудита управляющих компаний паевых инвестиционных фондов.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Объекты аудита акционерного и паевого инвестиционного фонда: императивные и диспозитивные нормы. 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аудита профессиональных участников рынка ц</w:t>
      </w:r>
      <w:r>
        <w:rPr>
          <w:rFonts w:eastAsia="Calibri"/>
          <w:lang w:eastAsia="en-US"/>
        </w:rPr>
        <w:t xml:space="preserve">енных бумаг (за исключением кредитных организаций): специальные счета учета клиентских средств. Маржинальные сделки, заимствование денежных средств у клиентов: основания, даты признания/прекращения признания, обеспечения исполнения обязательств по сделкам.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2. Формирование мнения о бухгалтерской (финансовой) отчетности и аудиторского заключения о ней</w:t>
      </w:r>
      <w:r>
        <w:rPr>
          <w:rFonts w:eastAsia="Calibri"/>
          <w:b/>
          <w:bCs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Доп</w:t>
      </w:r>
      <w:r>
        <w:rPr>
          <w:rFonts w:eastAsia="Calibri"/>
          <w:lang w:eastAsia="en-US"/>
        </w:rPr>
        <w:t xml:space="preserve">олнительные требования 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Право Банка России на обжалование аудиторского заключения. Решение Банка России о признании аудиторского заключения ненадлежащим в конкретных обстоятельствах согласно стандартам аудиторской деятельности.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Типовые вопросы и нарушения при составлении аудиторских заключений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Информирование лиц, отвечающих за корпоративное управление, о значимых выводах в результате аудита и о недостатках внутреннего контроля.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Ключевые вопросы аудита.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Немодифицированное</w:t>
      </w:r>
      <w:r>
        <w:rPr>
          <w:rFonts w:eastAsia="Calibri"/>
          <w:lang w:eastAsia="en-US"/>
        </w:rPr>
        <w:t xml:space="preserve"> и модифицированное мнение в аудиторском заключении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организаций: риски, ответственность аудитора.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состава аудиторского заключения о годовой бухгалтерской (финансовой) отчетности акционерного инвестиционного фонда в соответствии с Федеральным законом от 29.11.2001 № 156-ФЗ «Об инвестиционных фондах».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ежегодной проверки аудиторской организацией паевого инвестиционного фонда в соответствии с Федеральным законом от 29.11.2001 № 156-ФЗ «Об инвестиционных фондах».</w:t>
      </w:r>
      <w:r>
        <w:rPr>
          <w:rFonts w:eastAsia="Calibri"/>
          <w:lang w:eastAsia="en-US"/>
        </w:rPr>
      </w:r>
    </w:p>
    <w:p>
      <w:pPr>
        <w:numPr>
          <w:ilvl w:val="0"/>
          <w:numId w:val="31"/>
        </w:numPr>
        <w:contextualSpacing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Вопросы формирования аудиторского заключения о бухгалтерской (финансовой) отчетности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Глубокое и детальное понимание особенностей аудита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6-8-04 «АКТУАЛЬНЫЕ ВОПРОСЫ ПРИМЕНЕНИЯ ОТРАСЛЕВЫХ СТАНДАРТОВ БУХГАЛТЕРСКОГО УЧЕТА ПРИ АУДИТЕ БУХГАЛТЕРСКОЙ ОТЧЕТНОСТИ НЕКРЕДИТНЫХ ФИНАНСОВЫХ ОРГАНИЗАЦИЙ, БЮРО КРЕДИТНЫХ ИСТОРИЙ»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hd w:val="clear" w:color="auto" w:fill="ffffff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24 академических часа.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- изучение особенностей бухгалтерского учета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бюро кредитных историй в соответствии с требованиями Банка России. 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Регулирование, контроль и надзор - Центральный Банк Российской Федерации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</w:t>
      </w:r>
      <w:r>
        <w:rPr>
          <w:rFonts w:eastAsia="Calibri"/>
          <w:lang w:eastAsia="en-US"/>
        </w:rPr>
        <w:t xml:space="preserve">Полномочия Банка России по регулированию, контролю и надзору в сфере финансовых рынков. Регулирующие, контрольные и надзорные функции Банка России в сфере финансовых рынков.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>
        <w:rPr>
          <w:rFonts w:eastAsia="Calibri"/>
          <w:lang w:eastAsia="en-US"/>
        </w:rPr>
        <w:t xml:space="preserve">Нормативы и иные требован</w:t>
      </w:r>
      <w:r>
        <w:rPr>
          <w:rFonts w:eastAsia="Calibri"/>
          <w:lang w:eastAsia="en-US"/>
        </w:rPr>
        <w:t xml:space="preserve">ия Банка России: требования к собственным средствам (капиталу) или чистым активам, обязательные (финансовые, экономические) нормативы, а также иные требования в соответствии с федеральными законами, регулирующими деятельность соответствующих организаций.  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>
        <w:rPr>
          <w:rFonts w:eastAsia="Calibri"/>
          <w:lang w:eastAsia="en-US"/>
        </w:rPr>
        <w:t xml:space="preserve">Требования, предъявляемые нормативными актами Банка России к правилам внутреннего контроля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 Проверки Банком России деятельности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направление </w:t>
      </w:r>
      <w:r>
        <w:rPr>
          <w:rFonts w:eastAsia="Calibri"/>
          <w:lang w:eastAsia="en-US"/>
        </w:rPr>
        <w:t xml:space="preserve">некредитным</w:t>
      </w:r>
      <w:r>
        <w:rPr>
          <w:rFonts w:eastAsia="Calibri"/>
          <w:lang w:eastAsia="en-US"/>
        </w:rPr>
        <w:t xml:space="preserve"> финансовым организациям обязательных для исполнения предписаний. Требования к обеспечению защиты информации при осуществлении деятельности в сфере финансовых рынков.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</w:t>
      </w:r>
      <w:r>
        <w:rPr>
          <w:rFonts w:eastAsia="Calibri"/>
          <w:lang w:eastAsia="en-US"/>
        </w:rPr>
        <w:t xml:space="preserve">Требования о предоставлении сведений в Росфинмониторинг.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</w:t>
      </w:r>
      <w:r>
        <w:rPr>
          <w:rFonts w:eastAsia="Calibri"/>
          <w:lang w:eastAsia="en-US"/>
        </w:rPr>
        <w:t xml:space="preserve">Виды деятельности НФО. Саморегулируемые организации в сфере финансового рынка и членство в них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 </w:t>
      </w:r>
      <w:r>
        <w:rPr>
          <w:rFonts w:eastAsia="Calibri"/>
          <w:lang w:eastAsia="en-US"/>
        </w:rPr>
        <w:t xml:space="preserve">Сроки и порядок составления и представления отчетности, а также другой информации, предусмотренной федеральными законами, установленные Банком России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Правила ведения бухгалтерского учета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1. </w:t>
      </w:r>
      <w:r>
        <w:rPr>
          <w:rFonts w:eastAsia="Calibri"/>
          <w:lang w:eastAsia="en-US"/>
        </w:rPr>
        <w:t xml:space="preserve">Основные принципы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2.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Единый план счетов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 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3. </w:t>
      </w:r>
      <w:r>
        <w:rPr>
          <w:rFonts w:eastAsia="Calibri"/>
          <w:lang w:eastAsia="en-US"/>
        </w:rPr>
        <w:t xml:space="preserve">Порядок отражения на счетах бухгалтерского учета объектов бухгалтерского учета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организациями.</w:t>
      </w:r>
      <w:r>
        <w:rPr>
          <w:rFonts w:eastAsia="Calibri"/>
          <w:lang w:eastAsia="en-US"/>
        </w:rPr>
      </w:r>
    </w:p>
    <w:p>
      <w:pPr>
        <w:numPr>
          <w:ilvl w:val="0"/>
          <w:numId w:val="32"/>
        </w:numPr>
        <w:contextualSpacing/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Порядок осуществления бухгалтерского учета в соответствии с Положениями Банка России. </w:t>
      </w:r>
      <w:r>
        <w:rPr>
          <w:rFonts w:eastAsia="Calibri"/>
          <w:lang w:eastAsia="en-US"/>
        </w:rPr>
      </w:r>
    </w:p>
    <w:p>
      <w:pPr>
        <w:numPr>
          <w:ilvl w:val="0"/>
          <w:numId w:val="32"/>
        </w:numPr>
        <w:contextualSpacing/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Особенности отражения финансовых инструментов в соответствии с МСФО.</w:t>
      </w:r>
      <w:r>
        <w:rPr>
          <w:rFonts w:eastAsia="Calibri"/>
          <w:lang w:eastAsia="en-US"/>
        </w:rPr>
      </w:r>
    </w:p>
    <w:p>
      <w:pPr>
        <w:contextualSpacing/>
        <w:ind w:left="720"/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3. Правила учета отложенных налогов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</w:t>
      </w:r>
      <w:r>
        <w:rPr>
          <w:rFonts w:eastAsia="Calibri"/>
          <w:lang w:eastAsia="en-US"/>
        </w:rPr>
        <w:t xml:space="preserve">Порядок признания отложенных налоговых обязательств и отложенных налоговых активов.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Порядок отражения отложенного налога на прибыль в связи с переоценкой основного средства. 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Порядок отражения отложенного налога на прибыль в связи с переоценкой долевых и долговых ценных бумаг и формированием резерва под обесценение.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4. Актуальные вопросы бухгалтерского учета объектов бухгалтерского учета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 и применения методов аудита в рамках аудиторской проверки НФО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Соответствие записей по отражению на счетах бухгалтерского учета операций с ценными бумаги требованиям </w:t>
      </w:r>
      <w:hyperlink r:id="rId91" w:tooltip="https://login.consultant.ru/link/?req=doc&amp;demo=2&amp;base=LAW&amp;n=365734&amp;date=26.06.2022" w:history="1">
        <w:r>
          <w:rPr>
            <w:rFonts w:eastAsia="Calibri"/>
            <w:u w:val="single"/>
            <w:lang w:eastAsia="en-US"/>
          </w:rPr>
          <w:t xml:space="preserve">Положения</w:t>
        </w:r>
      </w:hyperlink>
      <w:r>
        <w:rPr>
          <w:rFonts w:eastAsia="Calibri"/>
          <w:lang w:eastAsia="en-US"/>
        </w:rPr>
        <w:t xml:space="preserve"> Банка России от 1 октября 2015 г. N 494-П "Отраслевой стандарт бухгалтерского учета операций с ценными бумагами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организациях", а также корректность включения информации об операциях с ценными бумагами в бухгалтерскую отчетность.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Корректность и полнота предста</w:t>
      </w:r>
      <w:r>
        <w:rPr>
          <w:rFonts w:eastAsia="Calibri"/>
          <w:lang w:eastAsia="en-US"/>
        </w:rPr>
        <w:t xml:space="preserve">вления в бухгалтерской отчетности информации об инвестициях в ассоциированные предприятия, а также соответствие раскрытой информации о вложениях в ассоциированные предприятия в бухгалтерской отчетности информации, отраженной на счетах бухгалтерского учета.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Подход к определению критерия существенности при признании разницы ме</w:t>
      </w:r>
      <w:r>
        <w:rPr>
          <w:rFonts w:eastAsia="Calibri"/>
          <w:lang w:eastAsia="en-US"/>
        </w:rPr>
        <w:t xml:space="preserve">жду амортизированной стоимостью финансового актива, рассчитанной с применением линейного метода признания процентного дохода, и амортизированной стоимостью финансового актива, рассчитанной с применением метода эффективной процентной ставки, несущественной.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Соответствие применяемой методики определения убытка от обесценения вложений в акции дочерних и ассоциированных акционерных обществ, оцениваемых в соответствии с </w:t>
      </w:r>
      <w:hyperlink r:id="rId92" w:tooltip="https://login.consultant.ru/link/?req=doc&amp;demo=2&amp;base=LAW&amp;n=202325&amp;dst=100091&amp;field=134&amp;date=26.06.2022" w:history="1">
        <w:r>
          <w:rPr>
            <w:rFonts w:eastAsia="Calibri"/>
            <w:u w:val="single"/>
            <w:lang w:eastAsia="en-US"/>
          </w:rPr>
          <w:t xml:space="preserve">пунктом 10</w:t>
        </w:r>
      </w:hyperlink>
      <w:r>
        <w:rPr>
          <w:rFonts w:eastAsia="Calibri"/>
          <w:lang w:eastAsia="en-US"/>
        </w:rPr>
        <w:t xml:space="preserve"> МСФО (IAS) 27 "Отдельная финансовая отчетность" по первоначальной стоимости, требованиям </w:t>
      </w:r>
      <w:hyperlink r:id="rId93" w:tooltip="https://login.consultant.ru/link/?req=doc&amp;demo=2&amp;base=LAW&amp;n=374630&amp;date=26.06.2022" w:history="1">
        <w:r>
          <w:rPr>
            <w:rFonts w:eastAsia="Calibri"/>
            <w:u w:val="single"/>
            <w:lang w:eastAsia="en-US"/>
          </w:rPr>
          <w:t xml:space="preserve">МСФО (IAS) 36</w:t>
        </w:r>
      </w:hyperlink>
      <w:r>
        <w:rPr>
          <w:rFonts w:eastAsia="Calibri"/>
          <w:lang w:eastAsia="en-US"/>
        </w:rPr>
        <w:t xml:space="preserve"> "Обесценение активов".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Методика проведения SPPI-тестов (оценка условий выпуска </w:t>
      </w:r>
      <w:r>
        <w:rPr>
          <w:rFonts w:eastAsia="Calibri"/>
          <w:lang w:eastAsia="en-US"/>
        </w:rPr>
        <w:t xml:space="preserve">ценных бумаг, обусловливающих получение в указанные даты денежных потоков, являющихся исключительно платежами в счет основной суммы долга и процентов на непогашенную часть основной суммы долга) при вложениях в долговые ценные бумаги иностранных эмитентов. 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 Подход к проведению классификации финансовых инструментов в соответствии с </w:t>
      </w:r>
      <w:hyperlink r:id="rId94" w:tooltip="https://login.consultant.ru/link/?req=doc&amp;demo=2&amp;base=LAW&amp;n=380195&amp;date=26.06.2022" w:history="1">
        <w:r>
          <w:rPr>
            <w:rFonts w:eastAsia="Calibri"/>
            <w:u w:val="single"/>
            <w:lang w:eastAsia="en-US"/>
          </w:rPr>
          <w:t xml:space="preserve">МСФО (IFRS) 9</w:t>
        </w:r>
      </w:hyperlink>
      <w:r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7. Корректность представления в финансовой отчетности информации об изменении оценочного резерва под убытки, раскрываемой в соответствии с </w:t>
      </w:r>
      <w:hyperlink r:id="rId95" w:tooltip="https://login.consultant.ru/link/?req=doc&amp;demo=2&amp;base=LAW&amp;n=380200&amp;date=26.06.2022" w:history="1">
        <w:r>
          <w:rPr>
            <w:rFonts w:eastAsia="Calibri"/>
            <w:u w:val="single"/>
            <w:lang w:eastAsia="en-US"/>
          </w:rPr>
          <w:t xml:space="preserve">МСФО (IFRS) 7</w:t>
        </w:r>
      </w:hyperlink>
      <w:r>
        <w:rPr>
          <w:rFonts w:eastAsia="Calibri"/>
          <w:lang w:eastAsia="en-US"/>
        </w:rPr>
        <w:t xml:space="preserve">, а также корректность порядка расчета количественных показателей при раскрытии информации о факторах, которые способствовали изменению оценочного резерва под убытки.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8. Методика анализа чувствительности по каждому виду рыночного риска, которому подвержена </w:t>
      </w:r>
      <w:r>
        <w:rPr>
          <w:rFonts w:eastAsia="Calibri"/>
          <w:lang w:eastAsia="en-US"/>
        </w:rPr>
        <w:t xml:space="preserve">некредитная</w:t>
      </w:r>
      <w:r>
        <w:rPr>
          <w:rFonts w:eastAsia="Calibri"/>
          <w:lang w:eastAsia="en-US"/>
        </w:rPr>
        <w:t xml:space="preserve"> финансовая организация на дату окончания отчетного периода, показывающего влияние на прибыль или убыток и собственный капитал, а также полноту представления данной информации в финансовой отчетности в соответствии с </w:t>
      </w:r>
      <w:hyperlink r:id="rId96" w:tooltip="https://login.consultant.ru/link/?req=doc&amp;demo=2&amp;base=LAW&amp;n=380200&amp;date=26.06.2022" w:history="1">
        <w:r>
          <w:rPr>
            <w:rFonts w:eastAsia="Calibri"/>
            <w:u w:val="single"/>
            <w:lang w:eastAsia="en-US"/>
          </w:rPr>
          <w:t xml:space="preserve">МСФО (IFRS) 7</w:t>
        </w:r>
      </w:hyperlink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9. Соответствие методики оценки резерва под ожидаемые кредитные убытки по финансовым инструментам </w:t>
      </w:r>
      <w:hyperlink r:id="rId97" w:tooltip="https://login.consultant.ru/link/?req=doc&amp;demo=2&amp;base=LAW&amp;n=380195&amp;date=26.06.2022" w:history="1">
        <w:r>
          <w:rPr>
            <w:rFonts w:eastAsia="Calibri"/>
            <w:u w:val="single"/>
            <w:lang w:eastAsia="en-US"/>
          </w:rPr>
          <w:t xml:space="preserve">МСФО (IFRS) 9</w:t>
        </w:r>
      </w:hyperlink>
      <w:r>
        <w:rPr>
          <w:rFonts w:eastAsia="Calibri"/>
          <w:lang w:eastAsia="en-US"/>
        </w:rPr>
        <w:t xml:space="preserve">, а именно: метод расчета вероятности наступления события дефолта и уровня потерь при дефолте, расп</w:t>
      </w:r>
      <w:r>
        <w:rPr>
          <w:rFonts w:eastAsia="Calibri"/>
          <w:lang w:eastAsia="en-US"/>
        </w:rPr>
        <w:t xml:space="preserve">ределение финансовых инструментов по стадиям в зависимости от изменения уровня кредитного риска, подход к группировке финансовых инструментов, впоследствии влияющий на создание резервов под ожидаемые кредитные убытки на индивидуальной или групповой основе.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10. По</w:t>
      </w:r>
      <w:r>
        <w:rPr>
          <w:rFonts w:eastAsia="Calibri"/>
          <w:lang w:eastAsia="en-US"/>
        </w:rPr>
        <w:t xml:space="preserve">рядок признания финансовых инструментов, подлежащих взаимозачету и подпадающих под действие обеспеченного правовой защитой генерального соглашения о взаимозачете, а также полноту раскрытия информации о взаимозачете финансовых инструментов в соответствии с </w:t>
      </w:r>
      <w:hyperlink r:id="rId98" w:tooltip="https://login.consultant.ru/link/?req=doc&amp;demo=2&amp;base=LAW&amp;n=380200&amp;dst=100067&amp;field=134&amp;date=26.06.2022" w:history="1">
        <w:r>
          <w:rPr>
            <w:rFonts w:eastAsia="Calibri"/>
            <w:u w:val="single"/>
            <w:lang w:eastAsia="en-US"/>
          </w:rPr>
          <w:t xml:space="preserve">пунктами 13А</w:t>
        </w:r>
      </w:hyperlink>
      <w:r>
        <w:rPr>
          <w:rFonts w:eastAsia="Calibri"/>
          <w:lang w:eastAsia="en-US"/>
        </w:rPr>
        <w:t xml:space="preserve">-</w:t>
      </w:r>
      <w:hyperlink r:id="rId99" w:tooltip="https://login.consultant.ru/link/?req=doc&amp;demo=2&amp;base=LAW&amp;n=380200&amp;dst=100080&amp;field=134&amp;date=26.06.2022" w:history="1">
        <w:r>
          <w:rPr>
            <w:rFonts w:eastAsia="Calibri"/>
            <w:u w:val="single"/>
            <w:lang w:eastAsia="en-US"/>
          </w:rPr>
          <w:t xml:space="preserve">13F</w:t>
        </w:r>
      </w:hyperlink>
      <w:r>
        <w:rPr>
          <w:rFonts w:eastAsia="Calibri"/>
          <w:lang w:eastAsia="en-US"/>
        </w:rPr>
        <w:t xml:space="preserve"> МСФО (IFRS) 7.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11. Соответствие подхода к определению справедливой стоимости финансовых активов и финансовых обязательств, по которым недоступны релевантные наблюдаемые исходные данные (исходные данные Уровня 3), </w:t>
      </w:r>
      <w:hyperlink r:id="rId100" w:tooltip="https://login.consultant.ru/link/?req=doc&amp;demo=2&amp;base=LAW&amp;n=202743&amp;date=26.06.2022" w:history="1">
        <w:r>
          <w:rPr>
            <w:rFonts w:eastAsia="Calibri"/>
            <w:u w:val="single"/>
            <w:lang w:eastAsia="en-US"/>
          </w:rPr>
          <w:t xml:space="preserve">МСФО (IFRS) 13</w:t>
        </w:r>
      </w:hyperlink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12. Полнота раскрытия информации о справедливой стоимости финансовых инструментов и соответствие раскрытой информации </w:t>
      </w:r>
      <w:hyperlink r:id="rId101" w:tooltip="https://login.consultant.ru/link/?req=doc&amp;demo=2&amp;base=LAW&amp;n=202743&amp;dst=100184&amp;field=134&amp;date=26.06.2022" w:history="1">
        <w:r>
          <w:rPr>
            <w:rFonts w:eastAsia="Calibri"/>
            <w:u w:val="single"/>
            <w:lang w:eastAsia="en-US"/>
          </w:rPr>
          <w:t xml:space="preserve">пункту 90</w:t>
        </w:r>
      </w:hyperlink>
      <w:r>
        <w:rPr>
          <w:rFonts w:eastAsia="Calibri"/>
          <w:lang w:eastAsia="en-US"/>
        </w:rPr>
        <w:t xml:space="preserve"> МСФО (IFRS).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13. Корректность трансформации бухгалтерской отчетности, составленной в соответствии с российскими стандартами бухгалтерского учета, в финансовую отчетность по МСФО. 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14. Подтверждение дебиторской и кредиторской задолженности с учетом фактически завершенных между сторонами действий в рамках договоров.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15. Проверка соответствия сформированных в учете и отраженных в бухгалтерской отчетности отложенных налогов требованиям </w:t>
      </w:r>
      <w:hyperlink r:id="rId102" w:tooltip="https://login.consultant.ru/link/?req=doc&amp;demo=2&amp;base=LAW&amp;n=209457&amp;date=26.06.2022" w:history="1">
        <w:r>
          <w:rPr>
            <w:rFonts w:eastAsia="Calibri"/>
            <w:u w:val="single"/>
            <w:lang w:eastAsia="en-US"/>
          </w:rPr>
          <w:t xml:space="preserve">Положения</w:t>
        </w:r>
      </w:hyperlink>
      <w:r>
        <w:rPr>
          <w:rFonts w:eastAsia="Calibri"/>
          <w:lang w:eastAsia="en-US"/>
        </w:rPr>
        <w:t xml:space="preserve"> Банка России от 4 сентября 2015 г. N 490-П "Отраслевой стандарт бухгалтерского учета отложенных налоговых обязательств и отложенных налоговых активов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организациями"; правомерность признания отложенных налоговых активов.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16. Анализ существенных изменений в учетной политике и порядок их отражения; оценка причин существенных изменений, в том числе порядок</w:t>
      </w:r>
      <w:r>
        <w:rPr>
          <w:rFonts w:eastAsia="Calibri"/>
          <w:lang w:eastAsia="en-US"/>
        </w:rPr>
        <w:t xml:space="preserve"> отражения в бухгалтерском учете и отчетности изменений, связанных с корректировкой подходов, бухгалтерских оценок, выявления ошибок в предыдущих периодах, изменений учетной политики и проверка соблюдения требований о ретроспективном пересчете показателей.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17. Анализ операций со связанными сторонами в целях получения достоверной информации об отсутствии риска мошенничества, в том числе проверка операций на нерыночных условиях.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18. Правомерность осуществления (влияние на капитал) страховыми организациями и негосударственными пенсионными фондами корректировок до наилучшей оценки величин страховых резервов и пенсионных обязательств соответственно.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19. Проверка наличия мнимых и притворных объектов бухгалтерского учета, используемых для завышения стоимости активов и искусственного формирования капитала кредитных потребительских кооперативов в неденежной форме.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20. Соблюдение </w:t>
      </w:r>
      <w:hyperlink r:id="rId103" w:tooltip="https://login.consultant.ru/link/?req=doc&amp;demo=2&amp;base=LAW&amp;n=380195&amp;date=26.06.2022" w:history="1">
        <w:r>
          <w:rPr>
            <w:rFonts w:eastAsia="Calibri"/>
            <w:u w:val="single"/>
            <w:lang w:eastAsia="en-US"/>
          </w:rPr>
          <w:t xml:space="preserve">МСФО (IFRS) 9</w:t>
        </w:r>
      </w:hyperlink>
      <w:r>
        <w:rPr>
          <w:rFonts w:eastAsia="Calibri"/>
          <w:lang w:eastAsia="en-US"/>
        </w:rPr>
        <w:t xml:space="preserve"> при расчете резервов под обесценение по предоставленным денежным займам в соответствии с </w:t>
      </w:r>
      <w:hyperlink r:id="rId104" w:tooltip="https://login.consultant.ru/link/?req=doc&amp;demo=2&amp;base=LAW&amp;n=365733&amp;date=26.06.2022" w:history="1">
        <w:r>
          <w:rPr>
            <w:rFonts w:eastAsia="Calibri"/>
            <w:u w:val="single"/>
            <w:lang w:eastAsia="en-US"/>
          </w:rPr>
          <w:t xml:space="preserve">Положением</w:t>
        </w:r>
      </w:hyperlink>
      <w:r>
        <w:rPr>
          <w:rFonts w:eastAsia="Calibri"/>
          <w:lang w:eastAsia="en-US"/>
        </w:rPr>
        <w:t xml:space="preserve"> Банка России от 1 октября 2015 г. N 493-П "Отраслевой стандарт бухгалтерского учета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 операций по выдаче (размещению) денежных средств по договорам займа и договорам банковского вклада", в том числе результаты оценки ожидаемых кредитных убытков, применяемой микрофинансовыми организациями для формирования </w:t>
      </w:r>
      <w:r>
        <w:rPr>
          <w:rFonts w:eastAsia="Calibri"/>
          <w:lang w:eastAsia="en-US"/>
        </w:rPr>
        <w:t xml:space="preserve">резервов под обесценение по предоставленным займам и их соответствие фактическим кредитным убыткам по аналогичным займам в предыдущих периодах, скорректированным с учетом изменения релевантных наблюдаемых данных (например, уровня безработицы и уровня цен).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21. Корректность расчета обязательного норматива достаточности капитала профессиональными участниками рынка ценных бумаг (введен с 1 октября 2021 г.).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5. Меры Банка России по стабилизации ситуации на финансовых рынках в условиях реализации санкционных рисков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Регуляторные послабления в отношении всех участников финансового рынка — общие регуляторные послабления.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Регуляторные послабления, направленные непосредственно на </w:t>
      </w:r>
      <w:r>
        <w:rPr>
          <w:rFonts w:eastAsia="Calibri"/>
          <w:lang w:eastAsia="en-US"/>
        </w:rPr>
        <w:t xml:space="preserve">некредитные</w:t>
      </w:r>
      <w:r>
        <w:rPr>
          <w:rFonts w:eastAsia="Calibri"/>
          <w:lang w:eastAsia="en-US"/>
        </w:rPr>
        <w:t xml:space="preserve"> финансовые организации (по типам НФО):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профессиональные участники рынка ценных бумаг;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страховые организации;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негосударственные пенсионные фонды;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управляющие компании;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организаторы торговли и клиринговые организации;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другие типы НФО.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Регуляторные послабления и иные антикризисные меры в отношении эмитентов ценных бумаг.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6. Регулирование, бухгалтерский учет и аудит бухгалтерской (финансовой) отчетности бюро кредитных историй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Правовое положение, контроль и надзор за деятельностью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Вопросы бухгалтерского учета бюро кредитных историй.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Бюро кредитных историй: аудит, рассмотрение примеров аудиторских заключений.</w:t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Глубокое и детальное понимание норм Положений и отраслевых стандартов Банка России в отношении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организациях, бюро кредитных историй, формирование знаний и выработка навыков для проведения аудита бухгалтерской отчетности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организации,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6-8-05 «АКТУАЛЬНЫЕ ВОПРОСЫ ПРИМЕНЕНИЯ ОТРАСЛЕВЫХ СТАНДАРТОВ БУХГАЛТЕРСКОГО УЧЕТА ПРИ АУДИТЕ БУХГАЛТЕРСКОЙ ОТЧЕТНОСТИ НЕКРЕДИТНЫХ ФИНАНСОВЫХ ОРГАНИЗАЦИЙ, БЮРО КРЕДИТНЫХ ИСТОРИЙ»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shd w:val="clear" w:color="auto" w:fill="ffffff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 – </w:t>
      </w:r>
      <w:r>
        <w:rPr>
          <w:rFonts w:eastAsia="Calibri"/>
          <w:bCs/>
          <w:lang w:eastAsia="en-US"/>
        </w:rPr>
        <w:t xml:space="preserve">8 академических часов</w:t>
      </w:r>
      <w:r>
        <w:rPr>
          <w:rFonts w:eastAsia="Calibri"/>
          <w:bCs/>
          <w:lang w:eastAsia="en-US"/>
        </w:rPr>
      </w:r>
    </w:p>
    <w:p>
      <w:pPr>
        <w:jc w:val="both"/>
        <w:spacing w:line="259" w:lineRule="auto"/>
        <w:shd w:val="clear" w:color="auto" w:fill="ffffff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 xml:space="preserve">Цель программы - </w:t>
      </w:r>
      <w:r>
        <w:rPr>
          <w:rFonts w:eastAsia="Calibri"/>
          <w:bCs/>
          <w:lang w:eastAsia="en-US"/>
        </w:rPr>
        <w:t xml:space="preserve">изучение особенностей бухгалтерского учета </w:t>
      </w:r>
      <w:r>
        <w:rPr>
          <w:rFonts w:eastAsia="Calibri"/>
          <w:bCs/>
          <w:lang w:eastAsia="en-US"/>
        </w:rPr>
        <w:t xml:space="preserve">некредитных</w:t>
      </w:r>
      <w:r>
        <w:rPr>
          <w:rFonts w:eastAsia="Calibri"/>
          <w:bCs/>
          <w:lang w:eastAsia="en-US"/>
        </w:rPr>
        <w:t xml:space="preserve"> финансовых организаций, бюро кредитных историй в соответствии с требованиями Банка России. </w:t>
      </w:r>
      <w:r>
        <w:rPr>
          <w:rFonts w:eastAsia="Calibri"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Регулирование, контроль и надзор - Центральный Банк Российской Федерации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contextualSpacing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</w:t>
      </w:r>
      <w:r>
        <w:rPr>
          <w:rFonts w:eastAsia="Calibri"/>
          <w:lang w:eastAsia="en-US"/>
        </w:rPr>
        <w:t xml:space="preserve">Обзор последних изменений в законодательстве. Нормативы и иные требования Банка России.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>
        <w:rPr>
          <w:rFonts w:eastAsia="Calibri"/>
          <w:lang w:eastAsia="en-US"/>
        </w:rPr>
        <w:t xml:space="preserve">Регуляторные послабления Банка России по стабилизации ситуации на финансовых рынках в условиях реализации санкционных рисков направленные непосредственно на </w:t>
      </w:r>
      <w:r>
        <w:rPr>
          <w:rFonts w:eastAsia="Calibri"/>
          <w:lang w:eastAsia="en-US"/>
        </w:rPr>
        <w:t xml:space="preserve">некредитные</w:t>
      </w:r>
      <w:r>
        <w:rPr>
          <w:rFonts w:eastAsia="Calibri"/>
          <w:lang w:eastAsia="en-US"/>
        </w:rPr>
        <w:t xml:space="preserve"> финансовые организации.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>
        <w:rPr>
          <w:rFonts w:eastAsia="Calibri"/>
          <w:lang w:eastAsia="en-US"/>
        </w:rPr>
        <w:t xml:space="preserve">Роль и полномочия Банка России в организации проведения обязательного аудита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  Требования к аудиторской организации.</w:t>
      </w:r>
      <w:r>
        <w:rPr>
          <w:rFonts w:eastAsia="Calibri"/>
          <w:lang w:eastAsia="en-US"/>
        </w:rPr>
      </w:r>
    </w:p>
    <w:p>
      <w:pPr>
        <w:contextualSpacing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Актуальные вопросы бухгалтерского учета объектов бухгалтерского учета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 и применения методов аудита в рамках аудиторской проверки НФО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Обзор последних </w:t>
      </w:r>
      <w:r>
        <w:rPr>
          <w:rFonts w:eastAsia="Calibri"/>
          <w:lang w:eastAsia="en-US"/>
        </w:rPr>
        <w:t xml:space="preserve">Рекомендаций Минфина России (Департамента регулирования бухгалтерского учета, финансовой отчетности и аудиторской деятельности) аудиторским организациям, индивидуальным аудиторам, аудиторам по проведению аудита годовой бухгалтерской отчетности организаций.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Учет запасов в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Изменения порядка составления бухгалтерской отчетности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Раскрытие предстоящих изменений учетной политики в годовой бухгалтерской отчетности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Вопросы осуществления аудиторских процедур при проведении аудита годовой бухгалтерской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3. Бухгалтерский учет и аудит бухгалтерской (финансовой) отчетности бюро кредитных историй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Вопросы бухгалтерского учета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Осуществление аудиторских процедур при проведении аудита бухгалтерской отчетности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Глубокое и детальное понимание норм Положений и отраслевых стандартов Банка России в отношении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организациях, бюро кредитных историй для проведения аудита бухгалтерской отчетности </w:t>
      </w:r>
      <w:r>
        <w:rPr>
          <w:rFonts w:eastAsia="Calibri"/>
          <w:lang w:eastAsia="en-US"/>
        </w:rPr>
        <w:t xml:space="preserve">некредитной</w:t>
      </w:r>
      <w:r>
        <w:rPr>
          <w:rFonts w:eastAsia="Calibri"/>
          <w:lang w:eastAsia="en-US"/>
        </w:rPr>
        <w:t xml:space="preserve"> финансовой организации, бюро кредитных историй.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6-8-06 «НЕКРЕДИТНЫЕ ФИНАНСОВЫЕ ОРГАНИЗАЦИИ, БЮРО КРЕДИТНЫХ ИСТОРИЙ: ОРГАНИЗАЦИЯ ДЕЯТЕЛЬНОСТИ, ОСОБЕННОСТИ БУХГАЛТЕРСКОГО УЧЕТА, НАЛОГООБЛОЖЕНИЯ И АУДИТА»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– 40 академических часов.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- углубление знаний аудиторов и руководителей аудита общественно значимых организаций, желающих специализироваться на аудите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бюро кредитных историй в соответствии с требованиями Банка России, в части законодательства, особенностей деятельности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бюро кредитных историй, организации бухгалтерского учета, налогообложения, проведения аудита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1. Регулирование, контроль и надзор - Центральный Банк Российской Федерации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Полномочия Банка России по регулированию, контролю и надзору в сфере финансовых рынков. Регулирующие, контрольные и надзорные функции Банка России в сфере финансовых рынков.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Нормативы и иные требован</w:t>
      </w:r>
      <w:r>
        <w:rPr>
          <w:rFonts w:eastAsia="Calibri"/>
          <w:lang w:eastAsia="en-US"/>
        </w:rPr>
        <w:t xml:space="preserve">ия Банка России: требования к собственным средствам (капиталу) или чистым активам, обязательные (финансовые, экономические) нормативы, а также иные требования в соответствии с федеральными законами, регулирующими деятельность соответствующих организаций. 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Требования, предъявляемые нормативными актами Банка России к правилам внутреннего контроля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 Проверки Банком России деятельности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направление </w:t>
      </w:r>
      <w:r>
        <w:rPr>
          <w:rFonts w:eastAsia="Calibri"/>
          <w:lang w:eastAsia="en-US"/>
        </w:rPr>
        <w:t xml:space="preserve">некредитным</w:t>
      </w:r>
      <w:r>
        <w:rPr>
          <w:rFonts w:eastAsia="Calibri"/>
          <w:lang w:eastAsia="en-US"/>
        </w:rPr>
        <w:t xml:space="preserve"> финансовым организациям обязательных для исполнения предписаний. Требования к обеспечению защиты информации при осуществлении деятельности в сфере финансовых рынков.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</w:t>
      </w:r>
      <w:r>
        <w:rPr>
          <w:rFonts w:eastAsia="Calibri"/>
          <w:lang w:eastAsia="en-US"/>
        </w:rPr>
        <w:t xml:space="preserve">. Виды деятельности НФО. Саморегулируемые организации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</w:t>
      </w:r>
      <w:r>
        <w:rPr>
          <w:rFonts w:eastAsia="Calibri"/>
          <w:lang w:eastAsia="en-US"/>
        </w:rPr>
        <w:t xml:space="preserve">. Концептуальные подходы к системе управления рисками (СУР) в НФО. Пример (примеры) реализации СУР в отдельных типах НФО.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</w:t>
      </w:r>
      <w:r>
        <w:rPr>
          <w:rFonts w:eastAsia="Calibri"/>
          <w:lang w:eastAsia="en-US"/>
        </w:rPr>
        <w:t xml:space="preserve">. Регулирование и надзор в сфере ПОД/ФТ/ФРОМУ в НФО.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7</w:t>
      </w:r>
      <w:r>
        <w:rPr>
          <w:rFonts w:eastAsia="Calibri"/>
          <w:lang w:eastAsia="en-US"/>
        </w:rPr>
        <w:t xml:space="preserve">. Сроки и порядок составления и представления отчетности, а также другой информации, предусмотренной федеральными законами, установленные Банком России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2. Правила ведения бухгалтерского учета в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организациях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160" w:line="259" w:lineRule="auto"/>
        <w:rPr>
          <w:rFonts w:eastAsia="Tahoma"/>
          <w:shd w:val="clear" w:color="auto" w:fill="ffffff"/>
          <w:lang w:eastAsia="en-US"/>
        </w:rPr>
      </w:pPr>
      <w:r>
        <w:rPr>
          <w:rFonts w:eastAsia="Calibri"/>
          <w:lang w:eastAsia="en-US"/>
        </w:rPr>
        <w:t xml:space="preserve">1. Система отраслевых стандартов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 Их место в системе бухгалтерского учета Российской Федерации. Сближение с МСФО</w:t>
      </w:r>
      <w:r>
        <w:rPr>
          <w:rFonts w:eastAsia="Tahoma"/>
          <w:shd w:val="clear" w:color="auto" w:fill="ffffff"/>
          <w:lang w:eastAsia="en-US"/>
        </w:rPr>
        <w:t xml:space="preserve">.</w:t>
      </w:r>
      <w:r>
        <w:rPr>
          <w:rFonts w:eastAsia="Tahoma"/>
          <w:shd w:val="clear" w:color="auto" w:fill="ffffff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Основные принципы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План счетов бухгалтерского учета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организациях: его структура, виды счетов, краткая характеристика счетов.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Порядок отражения на счетах бухгалтерского учета объектов бухгалтерского учета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Правила учета отложенных налогов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организациях. </w:t>
      </w:r>
      <w:r>
        <w:rPr>
          <w:rFonts w:eastAsia="Tahoma"/>
          <w:lang w:eastAsia="en-US"/>
        </w:rPr>
        <w:t xml:space="preserve">Особенности ведения налогового учета доходов и расходов. </w:t>
      </w:r>
      <w:r>
        <w:rPr>
          <w:rFonts w:eastAsia="Calibri"/>
          <w:lang w:eastAsia="en-US"/>
        </w:rPr>
        <w:t xml:space="preserve">Порядок признания отложенных налоговых обязательств и отложенных налоговых активов, в том числе в связи с переоценкой основного средства, в связи с переоценкой долевых и долговых ценных бумаг и в связи с формированием резерва под обесценение.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bCs/>
          <w:lang w:eastAsia="en-US"/>
        </w:rPr>
        <w:t xml:space="preserve">Тема </w:t>
      </w:r>
      <w:r>
        <w:rPr>
          <w:rFonts w:eastAsia="Calibri"/>
          <w:b/>
          <w:lang w:eastAsia="en-US"/>
        </w:rPr>
        <w:t xml:space="preserve">3</w:t>
      </w:r>
      <w:r>
        <w:rPr>
          <w:rFonts w:eastAsia="Calibri"/>
          <w:b/>
          <w:bCs/>
          <w:lang w:eastAsia="en-US"/>
        </w:rPr>
        <w:t xml:space="preserve">. Бухгалтерская и финансовая отчетность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организаций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Формы, состав, периодичность, требования по опубликованию и адреса предоставления бухгалтерской (финансовой) отчетности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Отчетность, направляемая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 в Банк России в порядке надзора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Принципы и порядок составления консолидированной финансовой отчетности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4. </w:t>
      </w:r>
      <w:r>
        <w:rPr>
          <w:rFonts w:eastAsia="Calibri"/>
          <w:b/>
          <w:bCs/>
          <w:lang w:eastAsia="en-US"/>
        </w:rPr>
        <w:t xml:space="preserve">Аудит бухгалтерской (финансовой) отчетности </w:t>
      </w:r>
      <w:r>
        <w:rPr>
          <w:rFonts w:eastAsia="Calibri"/>
          <w:b/>
          <w:lang w:eastAsia="en-US"/>
        </w:rPr>
        <w:t xml:space="preserve">некредитных</w:t>
      </w:r>
      <w:r>
        <w:rPr>
          <w:rFonts w:eastAsia="Calibri"/>
          <w:b/>
          <w:lang w:eastAsia="en-US"/>
        </w:rPr>
        <w:t xml:space="preserve"> финансовых </w:t>
      </w:r>
      <w:r>
        <w:rPr>
          <w:rFonts w:eastAsia="Calibri"/>
          <w:b/>
          <w:bCs/>
          <w:lang w:eastAsia="en-US"/>
        </w:rPr>
        <w:t xml:space="preserve">организаций</w:t>
      </w:r>
      <w:r>
        <w:rPr>
          <w:rFonts w:eastAsia="Calibri"/>
          <w:b/>
          <w:lang w:eastAsia="en-US"/>
        </w:rPr>
        <w:t xml:space="preserve"> в соответствии с Международными стандартами аудита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1. Требования к аудиторской организации для проведения обязательного аудита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</w:t>
      </w:r>
      <w:r>
        <w:rPr>
          <w:rFonts w:eastAsia="Tahoma"/>
          <w:lang w:eastAsia="en-US"/>
        </w:rPr>
        <w:t xml:space="preserve">.</w:t>
      </w:r>
      <w:r>
        <w:rPr>
          <w:rFonts w:eastAsia="Calibri"/>
          <w:highlight w:val="cyan"/>
          <w:lang w:eastAsia="en-US"/>
        </w:rPr>
        <w:t xml:space="preserve"> </w:t>
      </w:r>
      <w:r>
        <w:rPr>
          <w:rFonts w:eastAsia="Calibri"/>
          <w:lang w:eastAsia="en-US"/>
        </w:rPr>
        <w:t xml:space="preserve">Доп</w:t>
      </w:r>
      <w:r>
        <w:rPr>
          <w:rFonts w:eastAsia="Calibri"/>
          <w:lang w:eastAsia="en-US"/>
        </w:rPr>
        <w:t xml:space="preserve">олнительные требования Банка России к раскрытию в аудиторском заключении (разделе аудиторского заключения, отдельном отчете) результатов исполнения аудиторской организацией на финансовом рынке обязанностей, возложенных на нее другими федеральными законами.</w:t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Право Банка России на обжалование аудиторского заключения. Решение Банка России о признании аудиторского заключения ненадлежащим в обстоятельствах согласно стандартам аудиторской деятельности.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3. Порядок заключения договора на проведения обязательного аудита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</w:t>
      </w:r>
      <w:r>
        <w:rPr>
          <w:rFonts w:eastAsia="Tahoma"/>
          <w:lang w:eastAsia="en-US"/>
        </w:rPr>
        <w:t xml:space="preserve">.</w:t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Tahoma"/>
          <w:lang w:eastAsia="en-US"/>
        </w:rPr>
        <w:t xml:space="preserve">4. Процедуры проверки предписаний Банка России</w:t>
      </w:r>
      <w:r>
        <w:rPr>
          <w:rFonts w:eastAsia="Tahoma"/>
          <w:lang w:eastAsia="en-US"/>
        </w:rPr>
        <w:t xml:space="preserve">.</w:t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Calibri"/>
          <w:lang w:eastAsia="en-US"/>
        </w:rPr>
        <w:t xml:space="preserve">5. Особенности аудита </w:t>
      </w:r>
      <w:r>
        <w:rPr>
          <w:rFonts w:eastAsia="Tahoma"/>
          <w:lang w:eastAsia="en-US"/>
        </w:rPr>
        <w:t xml:space="preserve">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 как общественно значимых организаций. </w:t>
      </w:r>
      <w:r>
        <w:rPr>
          <w:rFonts w:eastAsia="Tahoma"/>
          <w:lang w:eastAsia="en-US"/>
        </w:rPr>
        <w:t xml:space="preserve">Группы</w:t>
      </w:r>
      <w:r>
        <w:rPr>
          <w:rFonts w:eastAsia="Calibri"/>
          <w:lang w:eastAsia="en-US"/>
        </w:rPr>
        <w:t xml:space="preserve"> пользователей финансовой отчетности и их интересы</w:t>
      </w:r>
      <w:r>
        <w:rPr>
          <w:rFonts w:eastAsia="Calibri"/>
          <w:lang w:eastAsia="en-US"/>
        </w:rPr>
        <w:t xml:space="preserve">.</w:t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Tahoma"/>
          <w:lang w:eastAsia="en-US"/>
        </w:rPr>
      </w:pPr>
      <w:r>
        <w:rPr>
          <w:rFonts w:eastAsia="Calibri"/>
          <w:lang w:eastAsia="en-US"/>
        </w:rPr>
        <w:t xml:space="preserve">6. Понимание деятельности аудируемого лица. Отраслевые, правовые и другие внешние факторы, влияющие на деятельность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и связанные с ними риски</w:t>
      </w:r>
      <w:r>
        <w:rPr>
          <w:rFonts w:eastAsia="Calibri"/>
          <w:lang w:eastAsia="en-US"/>
        </w:rPr>
        <w:t xml:space="preserve">.</w:t>
      </w:r>
      <w:r>
        <w:rPr>
          <w:rFonts w:eastAsia="Tahoma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7. Особенности организации внутреннего аудита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 и рассмотрение результатов его работы в </w:t>
      </w:r>
      <w:r>
        <w:rPr>
          <w:rFonts w:eastAsia="Tahoma"/>
          <w:lang w:eastAsia="en-US"/>
        </w:rPr>
        <w:t xml:space="preserve">аудите</w:t>
      </w:r>
      <w:r>
        <w:rPr>
          <w:rFonts w:eastAsia="Calibri"/>
          <w:lang w:eastAsia="en-US"/>
        </w:rPr>
        <w:t xml:space="preserve">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8. Типовые вопросы и нарушения при составлении аудиторских заключений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организаций.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5. Особенности проведения аудита </w:t>
      </w:r>
      <w:r>
        <w:rPr>
          <w:rFonts w:eastAsia="Calibri"/>
          <w:b/>
          <w:lang w:eastAsia="en-US"/>
        </w:rPr>
        <w:t xml:space="preserve">некредитной</w:t>
      </w:r>
      <w:r>
        <w:rPr>
          <w:rFonts w:eastAsia="Calibri"/>
          <w:b/>
          <w:lang w:eastAsia="en-US"/>
        </w:rPr>
        <w:t xml:space="preserve"> финансовой организации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after="24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Соответствие записей по отражению на счетах бухгалтерского учета операций с ценными бумаги требованиям </w:t>
      </w:r>
      <w:hyperlink r:id="rId105" w:tooltip="https://login.consultant.ru/link/?req=doc&amp;demo=2&amp;base=LAW&amp;n=365734&amp;date=26.06.2022" w:history="1">
        <w:r>
          <w:rPr>
            <w:rFonts w:eastAsia="Calibri"/>
            <w:lang w:eastAsia="en-US"/>
          </w:rPr>
          <w:t xml:space="preserve">Положения</w:t>
        </w:r>
      </w:hyperlink>
      <w:r>
        <w:rPr>
          <w:rFonts w:eastAsia="Calibri"/>
          <w:lang w:eastAsia="en-US"/>
        </w:rPr>
        <w:t xml:space="preserve"> Банка России от 1 октября 2015 г. N 494-П "Отраслевой стандарт бухгалтерского учета операций с ценными бумагами в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организациях", а также корректность включения информации об операциях с ценными бумагами в бухгалтерскую отчетность. </w:t>
      </w:r>
      <w:r>
        <w:rPr>
          <w:rFonts w:eastAsia="Calibri"/>
          <w:lang w:eastAsia="en-US"/>
        </w:rPr>
      </w:r>
    </w:p>
    <w:p>
      <w:pPr>
        <w:jc w:val="both"/>
        <w:spacing w:after="24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Корректность и полноту представ</w:t>
      </w:r>
      <w:r>
        <w:rPr>
          <w:rFonts w:eastAsia="Calibri"/>
          <w:lang w:eastAsia="en-US"/>
        </w:rPr>
        <w:t xml:space="preserve">ления в бухгалтерской отчетности информации об инвестициях в ассоциированные предприятия, а также соответствие раскрытой информации о вложениях в ассоциированные предприятия в бухгалтерской отчетности информации, отраженной на счетах бухгалтерского учета.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Подход к определению критерия существенности при признании разницы меж</w:t>
      </w:r>
      <w:r>
        <w:rPr>
          <w:rFonts w:eastAsia="Calibri"/>
          <w:lang w:eastAsia="en-US"/>
        </w:rPr>
        <w:t xml:space="preserve">ду амортизированной стоимостью финансового актива, рассчитанной с применением линейного метода признания процентного дохода, и амортизированной стоимостью финансового актива, рассчитанной с применением метода эффективной процентной ставки, несущественной.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Соответствие применяемой методики определения убытка от обесценения вложений в акции дочерних и ассоциированных акционерных обществ, оцениваемых в соответствии с </w:t>
      </w:r>
      <w:hyperlink r:id="rId106" w:tooltip="https://login.consultant.ru/link/?req=doc&amp;demo=2&amp;base=LAW&amp;n=202325&amp;dst=100091&amp;field=134&amp;date=26.06.2022" w:history="1">
        <w:r>
          <w:rPr>
            <w:rFonts w:eastAsia="Calibri"/>
            <w:lang w:eastAsia="en-US"/>
          </w:rPr>
          <w:t xml:space="preserve">пунктом 10</w:t>
        </w:r>
      </w:hyperlink>
      <w:r>
        <w:rPr>
          <w:rFonts w:eastAsia="Calibri"/>
          <w:lang w:eastAsia="en-US"/>
        </w:rPr>
        <w:t xml:space="preserve"> МСФО (IAS) 27 "Отдельная финансовая отчетность" по первоначальной стоимости, требованиям </w:t>
      </w:r>
      <w:hyperlink r:id="rId107" w:tooltip="https://login.consultant.ru/link/?req=doc&amp;demo=2&amp;base=LAW&amp;n=374630&amp;date=26.06.2022" w:history="1">
        <w:r>
          <w:rPr>
            <w:rFonts w:eastAsia="Calibri"/>
            <w:lang w:eastAsia="en-US"/>
          </w:rPr>
          <w:t xml:space="preserve">МСФО (IAS) 36</w:t>
        </w:r>
      </w:hyperlink>
      <w:r>
        <w:rPr>
          <w:rFonts w:eastAsia="Calibri"/>
          <w:lang w:eastAsia="en-US"/>
        </w:rPr>
        <w:t xml:space="preserve"> "Обесценение активов".  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Методика проведения SPPI-тестов (оценка условий выпуска </w:t>
      </w:r>
      <w:r>
        <w:rPr>
          <w:rFonts w:eastAsia="Calibri"/>
          <w:lang w:eastAsia="en-US"/>
        </w:rPr>
        <w:t xml:space="preserve">ценных бумаг, обусловливающих получение в указанные даты денежных потоков, являющихся исключительно платежами в счет основной суммы долга и процентов на непогашенную часть основной суммы долга) при вложениях в долговые ценные бумаги иностранных эмитентов.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 Подход к проведению классификации финансовых инструментов в соответствии с </w:t>
      </w:r>
      <w:hyperlink r:id="rId108" w:tooltip="https://login.consultant.ru/link/?req=doc&amp;demo=2&amp;base=LAW&amp;n=380195&amp;date=26.06.2022" w:history="1">
        <w:r>
          <w:rPr>
            <w:rFonts w:eastAsia="Calibri"/>
            <w:lang w:eastAsia="en-US"/>
          </w:rPr>
          <w:t xml:space="preserve">МСФО (IFRS) 9</w:t>
        </w:r>
      </w:hyperlink>
      <w:r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7. Корректность представления в финансовой отчетности информации об изменении оценочного резерва под убытки, раскрываемой в соответствии с </w:t>
      </w:r>
      <w:hyperlink r:id="rId109" w:tooltip="https://login.consultant.ru/link/?req=doc&amp;demo=2&amp;base=LAW&amp;n=380200&amp;date=26.06.2022" w:history="1">
        <w:r>
          <w:rPr>
            <w:rFonts w:eastAsia="Calibri"/>
            <w:lang w:eastAsia="en-US"/>
          </w:rPr>
          <w:t xml:space="preserve">МСФО (IFRS) 7</w:t>
        </w:r>
      </w:hyperlink>
      <w:r>
        <w:rPr>
          <w:rFonts w:eastAsia="Calibri"/>
          <w:lang w:eastAsia="en-US"/>
        </w:rPr>
        <w:t xml:space="preserve">, а также корректность порядка расчета количественных показателей при раскрытии информации о факторах, которые способствовали изменению оценочного резерва под убытки.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8. Методика анализа чувствительности по каждому виду рыночного риска, которому подвержена </w:t>
      </w:r>
      <w:r>
        <w:rPr>
          <w:rFonts w:eastAsia="Calibri"/>
          <w:lang w:eastAsia="en-US"/>
        </w:rPr>
        <w:t xml:space="preserve">некредитная</w:t>
      </w:r>
      <w:r>
        <w:rPr>
          <w:rFonts w:eastAsia="Calibri"/>
          <w:lang w:eastAsia="en-US"/>
        </w:rPr>
        <w:t xml:space="preserve"> финансовая организация на дату окончания отчетного периода, показывающего влияние на прибыль или убыток и собственный капитал, а также полноту представления данной информации в финансовой отчетности в соответствии с </w:t>
      </w:r>
      <w:hyperlink r:id="rId110" w:tooltip="https://login.consultant.ru/link/?req=doc&amp;demo=2&amp;base=LAW&amp;n=380200&amp;date=26.06.2022" w:history="1">
        <w:r>
          <w:rPr>
            <w:rFonts w:eastAsia="Calibri"/>
            <w:lang w:eastAsia="en-US"/>
          </w:rPr>
          <w:t xml:space="preserve">МСФО (IFRS) 7</w:t>
        </w:r>
      </w:hyperlink>
      <w:r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9. Соответствие методики оценки резерва под ожидаемые кредитные убытки по финансовым инструментам </w:t>
      </w:r>
      <w:hyperlink r:id="rId111" w:tooltip="https://login.consultant.ru/link/?req=doc&amp;demo=2&amp;base=LAW&amp;n=380195&amp;date=26.06.2022" w:history="1">
        <w:r>
          <w:rPr>
            <w:rFonts w:eastAsia="Calibri"/>
            <w:lang w:eastAsia="en-US"/>
          </w:rPr>
          <w:t xml:space="preserve">МСФО (IFRS) 9</w:t>
        </w:r>
      </w:hyperlink>
      <w:r>
        <w:rPr>
          <w:rFonts w:eastAsia="Calibri"/>
          <w:lang w:eastAsia="en-US"/>
        </w:rPr>
        <w:t xml:space="preserve">, а именно: метод расчета вероятности наступления события дефолта и уровня потерь при дефолте, распр</w:t>
      </w:r>
      <w:r>
        <w:rPr>
          <w:rFonts w:eastAsia="Calibri"/>
          <w:lang w:eastAsia="en-US"/>
        </w:rPr>
        <w:t xml:space="preserve">еделение финансовых инструментов по стадиям в зависимости от изменения уровня кредитного риска, подход к группировке финансовых инструментов, впоследствии влияющий на создание резервов под ожидаемые кредитные убытки на индивидуальной или групповой основе.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10. По</w:t>
      </w:r>
      <w:r>
        <w:rPr>
          <w:rFonts w:eastAsia="Calibri"/>
          <w:lang w:eastAsia="en-US"/>
        </w:rPr>
        <w:t xml:space="preserve">рядок признания финансовых инструментов, подлежащих взаимозачету и подпадающих под действие обеспеченного правовой защитой генерального соглашения о взаимозачете, а также полноту раскрытия информации о взаимозачете финансовых инструментов в соответствии с </w:t>
      </w:r>
      <w:hyperlink r:id="rId112" w:tooltip="https://login.consultant.ru/link/?req=doc&amp;demo=2&amp;base=LAW&amp;n=380200&amp;dst=100067&amp;field=134&amp;date=26.06.2022" w:history="1">
        <w:r>
          <w:rPr>
            <w:rFonts w:eastAsia="Calibri"/>
            <w:lang w:eastAsia="en-US"/>
          </w:rPr>
          <w:t xml:space="preserve">пунктами 13А</w:t>
        </w:r>
      </w:hyperlink>
      <w:r>
        <w:rPr>
          <w:rFonts w:eastAsia="Calibri"/>
          <w:lang w:eastAsia="en-US"/>
        </w:rPr>
        <w:t xml:space="preserve">-</w:t>
      </w:r>
      <w:hyperlink r:id="rId113" w:tooltip="https://login.consultant.ru/link/?req=doc&amp;demo=2&amp;base=LAW&amp;n=380200&amp;dst=100080&amp;field=134&amp;date=26.06.2022" w:history="1">
        <w:r>
          <w:rPr>
            <w:rFonts w:eastAsia="Calibri"/>
            <w:lang w:eastAsia="en-US"/>
          </w:rPr>
          <w:t xml:space="preserve">13F</w:t>
        </w:r>
      </w:hyperlink>
      <w:r>
        <w:rPr>
          <w:rFonts w:eastAsia="Calibri"/>
          <w:lang w:eastAsia="en-US"/>
        </w:rPr>
        <w:t xml:space="preserve"> МСФО (IFRS) 7.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11. Соответствие подхода к определению справедливой стоимости финансовых активов и финансовых обязательств, по которым недоступны релевантные наблюдаемые исходные данные (исходные данные Уровня 3), </w:t>
      </w:r>
      <w:hyperlink r:id="rId114" w:tooltip="https://login.consultant.ru/link/?req=doc&amp;demo=2&amp;base=LAW&amp;n=202743&amp;date=26.06.2022" w:history="1">
        <w:r>
          <w:rPr>
            <w:rFonts w:eastAsia="Calibri"/>
            <w:lang w:eastAsia="en-US"/>
          </w:rPr>
          <w:t xml:space="preserve">МСФО (IFRS) 13</w:t>
        </w:r>
      </w:hyperlink>
      <w:r>
        <w:rPr>
          <w:rFonts w:eastAsia="Calibri"/>
          <w:lang w:eastAsia="en-US"/>
        </w:rPr>
        <w:t xml:space="preserve">. Кроме того, полнота раскрытия информации о справедливой стоимости финансовых инструментов и соответствие раскрытой информации </w:t>
      </w:r>
      <w:hyperlink r:id="rId115" w:tooltip="https://login.consultant.ru/link/?req=doc&amp;demo=2&amp;base=LAW&amp;n=202743&amp;dst=100184&amp;field=134&amp;date=26.06.2022" w:history="1">
        <w:r>
          <w:rPr>
            <w:rFonts w:eastAsia="Calibri"/>
            <w:lang w:eastAsia="en-US"/>
          </w:rPr>
          <w:t xml:space="preserve">пункту 90</w:t>
        </w:r>
      </w:hyperlink>
      <w:r>
        <w:rPr>
          <w:rFonts w:eastAsia="Calibri"/>
          <w:lang w:eastAsia="en-US"/>
        </w:rPr>
        <w:t xml:space="preserve"> МСФО (IFRS) 13.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12. Корректность трансформации бухгалтерской отчетности, составленной в соответствии с российскими стандартами бухгалтерского учета, в финансовую отчетность по МСФО.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13. Подтверждение дебиторской и кредиторской задолженности с учетом фактически завершенных между сторонами действий в рамках договоров.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14. Проверка соответствия сформированных в учете и отраженных в бухгалтерской отчетности отложенных налогов требованиям </w:t>
      </w:r>
      <w:hyperlink r:id="rId116" w:tooltip="https://login.consultant.ru/link/?req=doc&amp;demo=2&amp;base=LAW&amp;n=209457&amp;date=26.06.2022" w:history="1">
        <w:r>
          <w:rPr>
            <w:rFonts w:eastAsia="Calibri"/>
            <w:lang w:eastAsia="en-US"/>
          </w:rPr>
          <w:t xml:space="preserve">Положения</w:t>
        </w:r>
      </w:hyperlink>
      <w:r>
        <w:rPr>
          <w:rFonts w:eastAsia="Calibri"/>
          <w:lang w:eastAsia="en-US"/>
        </w:rPr>
        <w:t xml:space="preserve"> Банка России от 4 сентября 2015 г. N 490-П "Отраслевой стандарт бухгалтерского учета отложенных налоговых обязательств и отложенных налоговых активов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организациями"; правомерность признания отложенных налоговых активов.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15. Анализ существенных изменений в учетной политике и порядок их отражения; оценка причин существенных изменений, в том числе порядок </w:t>
      </w:r>
      <w:r>
        <w:rPr>
          <w:rFonts w:eastAsia="Calibri"/>
          <w:lang w:eastAsia="en-US"/>
        </w:rPr>
        <w:t xml:space="preserve">отражения в бухгалтерском учете и отчетности изменений, связанных с корректировкой подходов, бухгалтерских оценок, выявления ошибок в предыдущих периодах, изменений учетной политики и проверка соблюдения требований о ретроспективном пересчете показателей.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16. Анализ операций со связанными сторонами в целях получения достоверной информации об отсутствии риска мошенничества, в том числе проверка операций на нерыночных условиях.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17. Правомерность осуществления (влияние на капитал) страховыми организациями и негосударственными пенсионными фондами корректировок до наилучшей оценки величин страховых резервов и пенсионных обязательств соответственно.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18. Проверка наличия мнимых и притворных объектов бухгалтерского учета, используемых для завышения стоимости активов и искусственного формирования капитала кредитных потребительских кооперативов в неденежной форме. 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19. Соблюдение </w:t>
      </w:r>
      <w:hyperlink r:id="rId117" w:tooltip="https://login.consultant.ru/link/?req=doc&amp;demo=2&amp;base=LAW&amp;n=380195&amp;date=26.06.2022" w:history="1">
        <w:r>
          <w:rPr>
            <w:rFonts w:eastAsia="Calibri"/>
            <w:lang w:eastAsia="en-US"/>
          </w:rPr>
          <w:t xml:space="preserve">МСФО (IFRS) 9</w:t>
        </w:r>
      </w:hyperlink>
      <w:r>
        <w:rPr>
          <w:rFonts w:eastAsia="Calibri"/>
          <w:lang w:eastAsia="en-US"/>
        </w:rPr>
        <w:t xml:space="preserve"> при расчете резервов под обесценение по предоставленным денежным займам в соответствии с </w:t>
      </w:r>
      <w:hyperlink r:id="rId118" w:tooltip="https://login.consultant.ru/link/?req=doc&amp;demo=2&amp;base=LAW&amp;n=365733&amp;date=26.06.2022" w:history="1">
        <w:r>
          <w:rPr>
            <w:rFonts w:eastAsia="Calibri"/>
            <w:lang w:eastAsia="en-US"/>
          </w:rPr>
          <w:t xml:space="preserve">Положением</w:t>
        </w:r>
      </w:hyperlink>
      <w:r>
        <w:rPr>
          <w:rFonts w:eastAsia="Calibri"/>
          <w:lang w:eastAsia="en-US"/>
        </w:rPr>
        <w:t xml:space="preserve"> Банка России от 1 октября 2015 г. N 493-П "Отраслевой стандарт бухгалтерского учета </w:t>
      </w:r>
      <w:r>
        <w:rPr>
          <w:rFonts w:eastAsia="Calibri"/>
          <w:lang w:eastAsia="en-US"/>
        </w:rPr>
        <w:t xml:space="preserve">некредитными</w:t>
      </w:r>
      <w:r>
        <w:rPr>
          <w:rFonts w:eastAsia="Calibri"/>
          <w:lang w:eastAsia="en-US"/>
        </w:rPr>
        <w:t xml:space="preserve"> финансовыми организациями операций по выдаче (размещению) денежных средств по договорам займа и договорам банковского вклада", в том числе результаты оценки ожидаемых кредитных убытков, применяемой микрофинансовыми организациями для формирования р</w:t>
      </w:r>
      <w:r>
        <w:rPr>
          <w:rFonts w:eastAsia="Calibri"/>
          <w:lang w:eastAsia="en-US"/>
        </w:rPr>
        <w:t xml:space="preserve">езервов под обесценение по предоставленным займам и их соответствие фактическим кредитным убыткам по аналогичным займам в предыдущих периодах, скорректированным с учетом изменения релевантных наблюдаемых данных (например, уровня безработицы и уровня цен). 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20. Корректность расчета обязательного норматива достаточности капитала профессиональными участниками рынка ценных бумаг (введен с 1 октября 2021 г.).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Тема 6. Бухгалтерский учет и аудит бухгалтерской (финансовой) отчетности бюро кредитных историй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Правовое регулирование, контроль и надзор деятельности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Вопросы бухгалтерского учета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Бухгалтерская (финансовая) отчетность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Аудит бухгалтерской (финансовой) отчетности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Глубокое понимание отраслевых стандартов бухгалтерского учета, правил составления бухгалтерской (финансовой) отчетности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бюро кредитных историй, особенностей проведения аудита </w:t>
      </w:r>
      <w:r>
        <w:rPr>
          <w:rFonts w:eastAsia="Calibri"/>
          <w:lang w:eastAsia="en-US"/>
        </w:rPr>
        <w:t xml:space="preserve">некредитных</w:t>
      </w:r>
      <w:r>
        <w:rPr>
          <w:rFonts w:eastAsia="Calibri"/>
          <w:lang w:eastAsia="en-US"/>
        </w:rPr>
        <w:t xml:space="preserve"> финансовых организаций, бюро кредитных историй.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6-8-07 «АКТУАЛЬНЫЕ ВОПРОСЫ ПРИМЕНЕНИЯ ОТРАСЛЕВЫХ СТАНДАРТОВ БУХГАЛТЕРСКОГО УЧЕТА, МСФО, ПОСЛЕДНИЕ ИЗМЕНЕНИЯ В НАЛОГООБЛОЖЕНИИ И ЗАКОНОДАТЕЛЬСТВЕ ПРИ АУДИТЕ БРОКЕРОВ, У</w:t>
      </w:r>
      <w:r>
        <w:rPr>
          <w:rFonts w:eastAsia="Calibri"/>
          <w:b/>
          <w:lang w:eastAsia="en-US"/>
        </w:rPr>
        <w:t xml:space="preserve">ПРАВЛЯЮЩИХ, ИНВЕСТИЦИОННЫХ СОВЕТНИКОВ, ДЕПОЗИТЕРИЕВ, ДЕРЖАТЕЛЕЙ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ФОНДОВ, БЮРО КРЕДИТНЫХ ИСТОРИЙ»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Продолжительность обучения</w:t>
      </w:r>
      <w:r>
        <w:rPr>
          <w:rFonts w:eastAsia="Calibri"/>
          <w:lang w:eastAsia="en-US"/>
        </w:rPr>
        <w:t xml:space="preserve"> - 8 академических часов.  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Цель программы</w:t>
      </w:r>
      <w:r>
        <w:rPr>
          <w:rFonts w:eastAsia="Calibri"/>
          <w:lang w:eastAsia="en-US"/>
        </w:rPr>
        <w:t xml:space="preserve"> - углубление знаний аудиторов и руководителей аудита бро</w:t>
      </w:r>
      <w:r>
        <w:rPr>
          <w:rFonts w:eastAsia="Calibri"/>
          <w:lang w:eastAsia="en-US"/>
        </w:rPr>
        <w:t xml:space="preserve">керов, управляющих, инвестиционных советников, депозитариев, держателей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фондов, бюро кредитных </w:t>
      </w:r>
      <w:r>
        <w:rPr>
          <w:rFonts w:eastAsia="Calibri"/>
          <w:lang w:eastAsia="en-US"/>
        </w:rPr>
        <w:t xml:space="preserve">историй в отношении ОСБУ, МСФО, отчетности, налогообложения и правового законодательства.</w:t>
      </w:r>
      <w:r>
        <w:rPr>
          <w:rFonts w:eastAsia="Calibri"/>
          <w:lang w:eastAsia="en-US"/>
        </w:rPr>
      </w:r>
    </w:p>
    <w:p>
      <w:pPr>
        <w:jc w:val="both"/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Обязательные вопросы*</w:t>
      </w:r>
      <w:r>
        <w:rPr>
          <w:rFonts w:eastAsia="Calibri"/>
          <w:lang w:eastAsia="en-US"/>
        </w:rPr>
        <w:t xml:space="preserve">  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Общая характеристика современного состояния правового регулирования предмета изучаемого акта. Причины и цели принятия изучаемого акта. Кон</w:t>
      </w:r>
      <w:r>
        <w:rPr>
          <w:rFonts w:eastAsia="Calibri"/>
          <w:lang w:eastAsia="en-US"/>
        </w:rPr>
        <w:t xml:space="preserve">цепция изучаемого акта. Круг лиц, на которых распространяется действие изучаемого акта. Место изучаемого акта в общей системе нормативных правовых актов данной отрасли права. Содержание изучаемого акта, его новеллы в сравнении с ранее действовавшим актом в</w:t>
      </w:r>
      <w:r>
        <w:rPr>
          <w:rFonts w:eastAsia="Calibri"/>
          <w:lang w:eastAsia="en-US"/>
        </w:rPr>
        <w:t xml:space="preserve"> отношении того же предмета. Порядок вступления в силу изучаемого акта и переходные положения. Последствия принятия изучаемого акта для аудируемых лиц. Влияние принятия изучаемого акта на проведение аудита бухгалтерской (финансовой) отчетности брокеров, уп</w:t>
      </w:r>
      <w:r>
        <w:rPr>
          <w:rFonts w:eastAsia="Calibri"/>
          <w:lang w:eastAsia="en-US"/>
        </w:rPr>
        <w:t xml:space="preserve">равляющих, инвестиционных советников, депозитариев, держателей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фондов, бюро кредитных историй. 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*Текст данной программы отражает не содержание ее темы, а приводит алгоритм проведения курсов по вышеназванной теме, которую необходимо знать при проведении аудита. При проведении повышения квалификации аудиторов должны рассматриваться все приведенные воп</w:t>
      </w:r>
      <w:r>
        <w:rPr>
          <w:rFonts w:eastAsia="Calibri"/>
          <w:lang w:eastAsia="en-US"/>
        </w:rPr>
        <w:t xml:space="preserve">росы по каждому изучаемому акту. Распределение академических часов по отдельным вопросам при обучении по настоящей программе производится образовательным учреждением, проводящим занятия по повышению квалификации аудиторов и руководителей аудита брокеров, у</w:t>
      </w:r>
      <w:r>
        <w:rPr>
          <w:rFonts w:eastAsia="Calibri"/>
          <w:lang w:eastAsia="en-US"/>
        </w:rPr>
        <w:t xml:space="preserve">правляющих, инвестиционных советников, депозитариев, держателей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фондов, бюро кредитных историй.</w:t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left="10" w:right="-113" w:hanging="10"/>
        <w:jc w:val="both"/>
        <w:spacing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Результат обучения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</w:r>
    </w:p>
    <w:p>
      <w:pPr>
        <w:ind w:right="-113"/>
        <w:jc w:val="both"/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right="-113"/>
        <w:jc w:val="both"/>
        <w:spacing w:after="160" w:line="259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 xml:space="preserve">Глубокое и детальное понимание норм правового акта, его применения в финансово-хозяйственной деятельности аудируемых лиц и при осуществлении аудита бро</w:t>
      </w:r>
      <w:r>
        <w:rPr>
          <w:rFonts w:eastAsia="Calibri"/>
          <w:lang w:eastAsia="en-US"/>
        </w:rPr>
        <w:t xml:space="preserve">керов, управляющих, инвестиционных советников, депозитариев, держателей реестра, клиринговых организаций, организаторов торговли, управляющих компаний инвестиционных фондов, паевых инвестиционных фондов, негосударственных пенсионных фондов, бюро кредитных </w:t>
      </w:r>
      <w:r>
        <w:rPr>
          <w:rFonts w:eastAsia="Calibri"/>
          <w:sz w:val="22"/>
          <w:szCs w:val="22"/>
          <w:lang w:eastAsia="en-US"/>
        </w:rPr>
        <w:t xml:space="preserve">историй.</w:t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ind w:right="-11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890" w:right="709" w:bottom="1140" w:left="1673" w:header="720" w:footer="14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Georgia">
    <w:panose1 w:val="02040502050405020303"/>
  </w:font>
  <w:font w:name="Symbol">
    <w:panose1 w:val="05010000000000000000"/>
  </w:font>
  <w:font w:name="Arial">
    <w:panose1 w:val="020B0604020202020204"/>
  </w:font>
  <w:font w:name="Courier New">
    <w:panose1 w:val="02070309020205020404"/>
  </w:font>
  <w:font w:name="Segoe UI">
    <w:panose1 w:val="020B0502040504020204"/>
  </w:font>
  <w:font w:name="MS Mincho">
    <w:panose1 w:val="02020503050405090304"/>
  </w:font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760"/>
      <w:jc w:val="right"/>
      <w:spacing w:after="29" w:line="259" w:lineRule="auto"/>
    </w:pPr>
    <w:r>
      <w:t xml:space="preserve">стр. </w:t>
    </w:r>
    <w:r>
      <w:rPr>
        <w:rFonts w:ascii="Tahoma" w:hAnsi="Tahoma" w:eastAsia="Tahoma" w:cs="Tahoma"/>
      </w:rPr>
      <w:fldChar w:fldCharType="begin"/>
    </w:r>
    <w:r>
      <w:instrText xml:space="preserve"> PAGE   \* MERGEFORMAT </w:instrText>
    </w:r>
    <w:r>
      <w:rPr>
        <w:rFonts w:ascii="Tahoma" w:hAnsi="Tahoma" w:eastAsia="Tahoma" w:cs="Tahoma"/>
      </w:rPr>
      <w:fldChar w:fldCharType="separate"/>
    </w:r>
    <w:r>
      <w:t xml:space="preserve">26</w:t>
    </w:r>
    <w:r>
      <w:fldChar w:fldCharType="end"/>
    </w:r>
    <w:r>
      <w:t xml:space="preserve"> из </w:t>
    </w:r>
    <w:fldSimple w:instr="NUMPAGES \* MERGEFORMAT">
      <w:r>
        <w:t xml:space="preserve">116</w:t>
      </w:r>
    </w:fldSimple>
    <w:r/>
    <w:r>
      <w:rPr>
        <w:rFonts w:ascii="Calibri" w:hAnsi="Calibri" w:eastAsia="Calibri" w:cs="Calibri"/>
        <w:sz w:val="22"/>
      </w:rPr>
      <w:t xml:space="preserve"> </w:t>
    </w:r>
    <w:r>
      <w:t xml:space="preserve"> </w:t>
    </w:r>
    <w:r/>
  </w:p>
  <w:p>
    <w:pPr>
      <w:ind w:left="29"/>
      <w:spacing w:line="259" w:lineRule="auto"/>
    </w:pPr>
    <w:r>
      <w:rPr>
        <w:rFonts w:ascii="Calibri" w:hAnsi="Calibri" w:eastAsia="Calibri" w:cs="Calibri"/>
        <w:sz w:val="22"/>
      </w:rPr>
      <w:t xml:space="preserve"> </w:t>
    </w:r>
    <w:r>
      <w:t xml:space="preserve"> 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760"/>
      <w:jc w:val="right"/>
      <w:spacing w:after="29" w:line="259" w:lineRule="auto"/>
    </w:pPr>
    <w:r>
      <w:t xml:space="preserve">стр. </w:t>
    </w:r>
    <w:r>
      <w:rPr>
        <w:rFonts w:ascii="Tahoma" w:hAnsi="Tahoma" w:eastAsia="Tahoma" w:cs="Tahoma"/>
      </w:rPr>
      <w:fldChar w:fldCharType="begin"/>
    </w:r>
    <w:r>
      <w:instrText xml:space="preserve"> PAGE   \* MERGEFORMAT </w:instrText>
    </w:r>
    <w:r>
      <w:rPr>
        <w:rFonts w:ascii="Tahoma" w:hAnsi="Tahoma" w:eastAsia="Tahoma" w:cs="Tahoma"/>
      </w:rPr>
      <w:fldChar w:fldCharType="separate"/>
    </w:r>
    <w:r>
      <w:t xml:space="preserve">10</w:t>
    </w:r>
    <w:r>
      <w:fldChar w:fldCharType="end"/>
    </w:r>
    <w:r>
      <w:t xml:space="preserve"> из </w:t>
    </w:r>
    <w:fldSimple w:instr="NUMPAGES \* MERGEFORMAT">
      <w:r>
        <w:t xml:space="preserve">84</w:t>
      </w:r>
    </w:fldSimple>
    <w:r/>
    <w:r>
      <w:rPr>
        <w:rFonts w:ascii="Calibri" w:hAnsi="Calibri" w:eastAsia="Calibri" w:cs="Calibri"/>
        <w:sz w:val="22"/>
      </w:rPr>
      <w:t xml:space="preserve"> </w:t>
    </w:r>
    <w:r>
      <w:t xml:space="preserve"> </w:t>
    </w:r>
    <w:r/>
  </w:p>
  <w:p>
    <w:pPr>
      <w:ind w:left="29"/>
      <w:spacing w:line="259" w:lineRule="auto"/>
    </w:pPr>
    <w:r>
      <w:rPr>
        <w:rFonts w:ascii="Calibri" w:hAnsi="Calibri" w:eastAsia="Calibri" w:cs="Calibri"/>
        <w:sz w:val="22"/>
      </w:rPr>
      <w:t xml:space="preserve"> </w:t>
    </w:r>
    <w:r>
      <w:t xml:space="preserve"> 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760"/>
      <w:jc w:val="right"/>
      <w:spacing w:after="29" w:line="259" w:lineRule="auto"/>
    </w:pPr>
    <w:r>
      <w:t xml:space="preserve">стр. </w:t>
    </w:r>
    <w:r>
      <w:rPr>
        <w:rFonts w:ascii="Tahoma" w:hAnsi="Tahoma" w:eastAsia="Tahoma" w:cs="Tahoma"/>
      </w:rPr>
      <w:fldChar w:fldCharType="begin"/>
    </w:r>
    <w:r>
      <w:instrText xml:space="preserve"> PAGE   \* MERGEFORMAT </w:instrText>
    </w:r>
    <w:r>
      <w:rPr>
        <w:rFonts w:ascii="Tahoma" w:hAnsi="Tahoma" w:eastAsia="Tahoma" w:cs="Tahoma"/>
      </w:rPr>
      <w:fldChar w:fldCharType="separate"/>
    </w:r>
    <w:r>
      <w:t xml:space="preserve">10</w:t>
    </w:r>
    <w:r>
      <w:fldChar w:fldCharType="end"/>
    </w:r>
    <w:r>
      <w:t xml:space="preserve"> из </w:t>
    </w:r>
    <w:fldSimple w:instr="NUMPAGES \* MERGEFORMAT">
      <w:r>
        <w:t xml:space="preserve">84</w:t>
      </w:r>
    </w:fldSimple>
    <w:r/>
    <w:r>
      <w:rPr>
        <w:rFonts w:ascii="Calibri" w:hAnsi="Calibri" w:eastAsia="Calibri" w:cs="Calibri"/>
        <w:sz w:val="22"/>
      </w:rPr>
      <w:t xml:space="preserve"> </w:t>
    </w:r>
    <w:r>
      <w:t xml:space="preserve"> </w:t>
    </w:r>
    <w:r/>
  </w:p>
  <w:p>
    <w:pPr>
      <w:ind w:left="29"/>
      <w:spacing w:line="259" w:lineRule="auto"/>
    </w:pPr>
    <w:r>
      <w:rPr>
        <w:rFonts w:ascii="Calibri" w:hAnsi="Calibri" w:eastAsia="Calibri" w:cs="Calibri"/>
        <w:sz w:val="22"/>
      </w:rPr>
      <w:t xml:space="preserve"> </w:t>
    </w:r>
    <w:r>
      <w:t xml:space="preserve"> 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630" w:hanging="360"/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35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7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9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1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3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5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7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9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4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5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7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9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1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3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5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7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9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786" w:hanging="36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bullet"/>
      <w:isLgl w:val="false"/>
      <w:suff w:val="tab"/>
      <w:lvlText w:val=""/>
      <w:lvlJc w:val="left"/>
      <w:pPr>
        <w:ind w:left="792" w:hanging="432"/>
      </w:pPr>
      <w:rPr>
        <w:rFonts w:hint="default" w:ascii="Symbol" w:hAnsi="Symbol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6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34" w:hanging="360"/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47" w:hanging="180"/>
      </w:pPr>
    </w:lvl>
  </w:abstractNum>
  <w:abstractNum w:abstractNumId="14">
    <w:multiLevelType w:val="hybridMultilevel"/>
    <w:lvl w:ilvl="0">
      <w:start w:val="3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eastAsia="Tahoma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108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964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82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92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67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784" w:hanging="180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3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2."/>
      <w:lvlJc w:val="left"/>
      <w:pPr>
        <w:ind w:left="855" w:hanging="495"/>
      </w:pPr>
      <w:rPr>
        <w:rFonts w:ascii="Times New Roman" w:hAnsi="Times New Roman" w:cs="Times New Roman" w:eastAsiaTheme="minorHAnsi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50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6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4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bullet"/>
      <w:isLgl w:val="false"/>
      <w:suff w:val="tab"/>
      <w:lvlText w:val=""/>
      <w:lvlJc w:val="left"/>
      <w:pPr>
        <w:ind w:left="792" w:hanging="432"/>
      </w:pPr>
      <w:rPr>
        <w:rFonts w:hint="default" w:ascii="Symbol" w:hAnsi="Symbol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08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964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82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92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67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784" w:hanging="1800"/>
      </w:pPr>
      <w:rPr>
        <w:rFonts w:hint="default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080" w:hanging="36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bullet"/>
      <w:isLgl w:val="false"/>
      <w:suff w:val="tab"/>
      <w:lvlText w:val=""/>
      <w:lvlJc w:val="left"/>
      <w:pPr>
        <w:ind w:left="792" w:hanging="432"/>
      </w:pPr>
      <w:rPr>
        <w:rFonts w:hint="default" w:ascii="Symbol" w:hAnsi="Symbol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6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  <w:color w:val="0d0d0d" w:themeColor="text1" w:themeTint="F2"/>
      </w:rPr>
    </w:lvl>
    <w:lvl w:ilvl="1">
      <w:start w:val="1"/>
      <w:numFmt w:val="decimal"/>
      <w:isLgl/>
      <w:suff w:val="tab"/>
      <w:lvlText w:val="%2."/>
      <w:lvlJc w:val="left"/>
      <w:pPr>
        <w:ind w:left="846" w:hanging="420"/>
      </w:pPr>
      <w:rPr>
        <w:rFonts w:ascii="Times New Roman" w:hAnsi="Times New Roman" w:eastAsia="Times New Roman" w:cs="Times New Roman"/>
        <w:color w:val="222222"/>
      </w:rPr>
    </w:lvl>
    <w:lvl w:ilvl="2">
      <w:start w:val="1"/>
      <w:numFmt w:val="decimal"/>
      <w:isLgl/>
      <w:suff w:val="tab"/>
      <w:lvlText w:val="%1.%2.%3."/>
      <w:lvlJc w:val="left"/>
      <w:pPr>
        <w:ind w:left="1146" w:hanging="720"/>
      </w:pPr>
      <w:rPr>
        <w:rFonts w:hint="default"/>
        <w:color w:val="222222"/>
      </w:rPr>
    </w:lvl>
    <w:lvl w:ilvl="3">
      <w:start w:val="1"/>
      <w:numFmt w:val="decimal"/>
      <w:isLgl/>
      <w:suff w:val="tab"/>
      <w:lvlText w:val="%1.%2.%3.%4."/>
      <w:lvlJc w:val="left"/>
      <w:pPr>
        <w:ind w:left="1146" w:hanging="720"/>
      </w:pPr>
      <w:rPr>
        <w:rFonts w:hint="default"/>
        <w:color w:val="222222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  <w:color w:val="222222"/>
      </w:rPr>
    </w:lvl>
    <w:lvl w:ilvl="5">
      <w:start w:val="1"/>
      <w:numFmt w:val="decimal"/>
      <w:isLgl/>
      <w:suff w:val="tab"/>
      <w:lvlText w:val="%1.%2.%3.%4.%5.%6."/>
      <w:lvlJc w:val="left"/>
      <w:pPr>
        <w:ind w:left="1506" w:hanging="1080"/>
      </w:pPr>
      <w:rPr>
        <w:rFonts w:hint="default"/>
        <w:color w:val="222222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  <w:color w:val="222222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66" w:hanging="1440"/>
      </w:pPr>
      <w:rPr>
        <w:rFonts w:hint="default"/>
        <w:color w:val="222222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226" w:hanging="1800"/>
      </w:pPr>
      <w:rPr>
        <w:rFonts w:hint="default"/>
        <w:color w:val="222222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b w:val="0"/>
        <w:bCs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6">
    <w:multiLevelType w:val="hybridMultilevel"/>
    <w:lvl w:ilvl="0">
      <w:start w:val="3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03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0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2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4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56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28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0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2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4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8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8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6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9">
    <w:multiLevelType w:val="hybridMultilevel"/>
    <w:lvl w:ilvl="0">
      <w:start w:val="3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4" w:hanging="180"/>
      </w:p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5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  <w:color w:val="0d0d0d" w:themeColor="text1" w:themeTint="F2"/>
      </w:rPr>
    </w:lvl>
    <w:lvl w:ilvl="1">
      <w:start w:val="1"/>
      <w:numFmt w:val="decimal"/>
      <w:isLgl/>
      <w:suff w:val="tab"/>
      <w:lvlText w:val="%2."/>
      <w:lvlJc w:val="left"/>
      <w:pPr>
        <w:ind w:left="846" w:hanging="420"/>
      </w:pPr>
      <w:rPr>
        <w:rFonts w:ascii="Times New Roman" w:hAnsi="Times New Roman" w:eastAsia="Times New Roman" w:cs="Times New Roman"/>
        <w:color w:val="222222"/>
      </w:rPr>
    </w:lvl>
    <w:lvl w:ilvl="2">
      <w:start w:val="1"/>
      <w:numFmt w:val="decimal"/>
      <w:isLgl/>
      <w:suff w:val="tab"/>
      <w:lvlText w:val="%1.%2.%3."/>
      <w:lvlJc w:val="left"/>
      <w:pPr>
        <w:ind w:left="1146" w:hanging="720"/>
      </w:pPr>
      <w:rPr>
        <w:rFonts w:hint="default"/>
        <w:color w:val="222222"/>
      </w:rPr>
    </w:lvl>
    <w:lvl w:ilvl="3">
      <w:start w:val="1"/>
      <w:numFmt w:val="decimal"/>
      <w:isLgl/>
      <w:suff w:val="tab"/>
      <w:lvlText w:val="%1.%2.%3.%4."/>
      <w:lvlJc w:val="left"/>
      <w:pPr>
        <w:ind w:left="1146" w:hanging="720"/>
      </w:pPr>
      <w:rPr>
        <w:rFonts w:hint="default"/>
        <w:color w:val="222222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  <w:color w:val="222222"/>
      </w:rPr>
    </w:lvl>
    <w:lvl w:ilvl="5">
      <w:start w:val="1"/>
      <w:numFmt w:val="decimal"/>
      <w:isLgl/>
      <w:suff w:val="tab"/>
      <w:lvlText w:val="%1.%2.%3.%4.%5.%6."/>
      <w:lvlJc w:val="left"/>
      <w:pPr>
        <w:ind w:left="1506" w:hanging="1080"/>
      </w:pPr>
      <w:rPr>
        <w:rFonts w:hint="default"/>
        <w:color w:val="222222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  <w:color w:val="222222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66" w:hanging="1440"/>
      </w:pPr>
      <w:rPr>
        <w:rFonts w:hint="default"/>
        <w:color w:val="222222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226" w:hanging="1800"/>
      </w:pPr>
      <w:rPr>
        <w:rFonts w:hint="default"/>
        <w:color w:val="222222"/>
      </w:r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0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6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1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32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07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1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29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04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152" w:hanging="2160"/>
      </w:pPr>
      <w:rPr>
        <w:rFonts w:hint="default"/>
      </w:rPr>
    </w:lvl>
  </w:abstractNum>
  <w:abstractNum w:abstractNumId="1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7">
    <w:multiLevelType w:val="hybridMultilevel"/>
    <w:lvl w:ilvl="0">
      <w:start w:val="3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Georgia" w:hAnsi="Georgia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 w:ascii="Times New Roman" w:hAnsi="Times New Roman" w:cs="Times New Roman" w:eastAsiaTheme="minorHAnsi"/>
        <w:lang w:val="ru-RU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Georgia" w:hAnsi="Georgia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Georgia" w:hAnsi="Georgia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Georgia" w:hAnsi="Georgia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Georgia" w:hAnsi="Georgia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Georgia" w:hAnsi="Georgia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Georgia" w:hAnsi="Georgia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Georgia" w:hAnsi="Georgia"/>
      </w:rPr>
    </w:lvl>
  </w:abstractNum>
  <w:abstractNum w:abstractNumId="1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1">
    <w:multiLevelType w:val="hybridMultilevel"/>
    <w:lvl w:ilvl="0">
      <w:start w:val="3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2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4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6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8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0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2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4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67" w:hanging="360"/>
      </w:pPr>
      <w:rPr>
        <w:rFonts w:hint="default" w:ascii="Wingdings" w:hAnsi="Wingdings"/>
      </w:rPr>
    </w:lvl>
  </w:abstractNum>
  <w:abstractNum w:abstractNumId="1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12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790" w:hanging="71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3">
    <w:multiLevelType w:val="hybridMultilevel"/>
    <w:lvl w:ilvl="0">
      <w:start w:val="3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bullet"/>
      <w:isLgl w:val="false"/>
      <w:suff w:val="tab"/>
      <w:lvlText w:val=""/>
      <w:lvlJc w:val="left"/>
      <w:pPr>
        <w:ind w:left="792" w:hanging="432"/>
      </w:pPr>
      <w:rPr>
        <w:rFonts w:hint="default" w:ascii="Symbol" w:hAnsi="Symbol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6">
    <w:multiLevelType w:val="hybridMultilevel"/>
    <w:lvl w:ilvl="0">
      <w:start w:val="3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1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6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1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32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07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1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29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04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152" w:hanging="2160"/>
      </w:pPr>
      <w:rPr>
        <w:rFonts w:hint="default"/>
      </w:rPr>
    </w:lvl>
  </w:abstractNum>
  <w:abstractNum w:abstractNumId="1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14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4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3"/>
      <w:numFmt w:val="decimal"/>
      <w:isLgl/>
      <w:suff w:val="tab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6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  <w:color w:val="222222"/>
      </w:rPr>
    </w:lvl>
    <w:lvl w:ilvl="1">
      <w:start w:val="1"/>
      <w:numFmt w:val="decimal"/>
      <w:isLgl/>
      <w:suff w:val="tab"/>
      <w:lvlText w:val="%2."/>
      <w:lvlJc w:val="left"/>
      <w:pPr>
        <w:ind w:left="846" w:hanging="420"/>
      </w:pPr>
      <w:rPr>
        <w:rFonts w:ascii="Times New Roman" w:hAnsi="Times New Roman" w:eastAsia="Times New Roman" w:cs="Times New Roman"/>
        <w:color w:val="0d0d0d" w:themeColor="text1" w:themeTint="F2"/>
      </w:rPr>
    </w:lvl>
    <w:lvl w:ilvl="2">
      <w:start w:val="1"/>
      <w:numFmt w:val="decimal"/>
      <w:isLgl/>
      <w:suff w:val="tab"/>
      <w:lvlText w:val="%1.%2.%3."/>
      <w:lvlJc w:val="left"/>
      <w:pPr>
        <w:ind w:left="1146" w:hanging="720"/>
      </w:pPr>
      <w:rPr>
        <w:rFonts w:hint="default"/>
        <w:color w:val="222222"/>
      </w:rPr>
    </w:lvl>
    <w:lvl w:ilvl="3">
      <w:start w:val="1"/>
      <w:numFmt w:val="decimal"/>
      <w:isLgl/>
      <w:suff w:val="tab"/>
      <w:lvlText w:val="%1.%2.%3.%4."/>
      <w:lvlJc w:val="left"/>
      <w:pPr>
        <w:ind w:left="1146" w:hanging="720"/>
      </w:pPr>
      <w:rPr>
        <w:rFonts w:hint="default"/>
        <w:color w:val="222222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  <w:color w:val="222222"/>
      </w:rPr>
    </w:lvl>
    <w:lvl w:ilvl="5">
      <w:start w:val="1"/>
      <w:numFmt w:val="decimal"/>
      <w:isLgl/>
      <w:suff w:val="tab"/>
      <w:lvlText w:val="%1.%2.%3.%4.%5.%6."/>
      <w:lvlJc w:val="left"/>
      <w:pPr>
        <w:ind w:left="1506" w:hanging="1080"/>
      </w:pPr>
      <w:rPr>
        <w:rFonts w:hint="default"/>
        <w:color w:val="222222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  <w:color w:val="222222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66" w:hanging="1440"/>
      </w:pPr>
      <w:rPr>
        <w:rFonts w:hint="default"/>
        <w:color w:val="222222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226" w:hanging="1800"/>
      </w:pPr>
      <w:rPr>
        <w:rFonts w:hint="default"/>
        <w:color w:val="222222"/>
      </w:rPr>
    </w:lvl>
  </w:abstractNum>
  <w:abstractNum w:abstractNumId="1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7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17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5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6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7">
    <w:multiLevelType w:val="hybridMultilevel"/>
    <w:lvl w:ilvl="0">
      <w:start w:val="3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48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68"/>
      </w:pPr>
      <w:rPr>
        <w:rFonts w:ascii="Courier New" w:hAnsi="Courier New" w:eastAsia="Courier New" w:cs="Courier New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74"/>
      </w:pPr>
      <w:rPr>
        <w:rFonts w:ascii="Courier New" w:hAnsi="Courier New" w:eastAsia="Courier New" w:cs="Courier New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94"/>
      </w:pPr>
      <w:rPr>
        <w:rFonts w:ascii="Courier New" w:hAnsi="Courier New" w:eastAsia="Courier New" w:cs="Courier New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14"/>
      </w:pPr>
      <w:rPr>
        <w:rFonts w:ascii="Courier New" w:hAnsi="Courier New" w:eastAsia="Courier New" w:cs="Courier New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34"/>
      </w:pPr>
      <w:rPr>
        <w:rFonts w:ascii="Courier New" w:hAnsi="Courier New" w:eastAsia="Courier New" w:cs="Courier New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54"/>
      </w:pPr>
      <w:rPr>
        <w:rFonts w:ascii="Courier New" w:hAnsi="Courier New" w:eastAsia="Courier New" w:cs="Courier New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74"/>
      </w:pPr>
      <w:rPr>
        <w:rFonts w:ascii="Courier New" w:hAnsi="Courier New" w:eastAsia="Courier New" w:cs="Courier New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94"/>
      </w:pPr>
      <w:rPr>
        <w:rFonts w:ascii="Courier New" w:hAnsi="Courier New" w:eastAsia="Courier New" w:cs="Courier New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7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276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1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3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7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9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36" w:hanging="360"/>
      </w:pPr>
      <w:rPr>
        <w:rFonts w:hint="default" w:ascii="Wingdings" w:hAnsi="Wingdings"/>
      </w:rPr>
    </w:lvl>
  </w:abstractNum>
  <w:abstractNum w:abstractNumId="18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Georgia" w:hAnsi="Georgia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 w:ascii="Times New Roman" w:hAnsi="Times New Roman" w:cs="Times New Roman" w:eastAsiaTheme="minorHAnsi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Georgia" w:hAnsi="Georgia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Georgia" w:hAnsi="Georgia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Georgia" w:hAnsi="Georgia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Georgia" w:hAnsi="Georgia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Georgia" w:hAnsi="Georgia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Georgia" w:hAnsi="Georgia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Georgia" w:hAnsi="Georgia"/>
      </w:rPr>
    </w:lvl>
  </w:abstractNum>
  <w:abstractNum w:abstractNumId="18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6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8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1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080" w:hanging="36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218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90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62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4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6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8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50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2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49" w:hanging="360"/>
      </w:pPr>
      <w:rPr>
        <w:rFonts w:hint="default" w:ascii="Wingdings" w:hAnsi="Wingdings"/>
      </w:rPr>
    </w:lvl>
  </w:abstractNum>
  <w:abstractNum w:abstractNumId="192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6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9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9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78"/>
  </w:num>
  <w:num w:numId="3">
    <w:abstractNumId w:val="78"/>
  </w:num>
  <w:num w:numId="4">
    <w:abstractNumId w:val="128"/>
  </w:num>
  <w:num w:numId="5">
    <w:abstractNumId w:val="0"/>
  </w:num>
  <w:num w:numId="6">
    <w:abstractNumId w:val="37"/>
  </w:num>
  <w:num w:numId="7">
    <w:abstractNumId w:val="195"/>
  </w:num>
  <w:num w:numId="8">
    <w:abstractNumId w:val="130"/>
  </w:num>
  <w:num w:numId="9">
    <w:abstractNumId w:val="194"/>
  </w:num>
  <w:num w:numId="10">
    <w:abstractNumId w:val="115"/>
  </w:num>
  <w:num w:numId="11">
    <w:abstractNumId w:val="120"/>
  </w:num>
  <w:num w:numId="12">
    <w:abstractNumId w:val="118"/>
  </w:num>
  <w:num w:numId="13">
    <w:abstractNumId w:val="164"/>
  </w:num>
  <w:num w:numId="14">
    <w:abstractNumId w:val="123"/>
  </w:num>
  <w:num w:numId="15">
    <w:abstractNumId w:val="93"/>
  </w:num>
  <w:num w:numId="16">
    <w:abstractNumId w:val="4"/>
  </w:num>
  <w:num w:numId="17">
    <w:abstractNumId w:val="66"/>
  </w:num>
  <w:num w:numId="18">
    <w:abstractNumId w:val="18"/>
  </w:num>
  <w:num w:numId="19">
    <w:abstractNumId w:val="132"/>
  </w:num>
  <w:num w:numId="20">
    <w:abstractNumId w:val="35"/>
  </w:num>
  <w:num w:numId="21">
    <w:abstractNumId w:val="102"/>
  </w:num>
  <w:num w:numId="22">
    <w:abstractNumId w:val="108"/>
  </w:num>
  <w:num w:numId="23">
    <w:abstractNumId w:val="52"/>
  </w:num>
  <w:num w:numId="24">
    <w:abstractNumId w:val="69"/>
  </w:num>
  <w:num w:numId="25">
    <w:abstractNumId w:val="154"/>
  </w:num>
  <w:num w:numId="26">
    <w:abstractNumId w:val="110"/>
  </w:num>
  <w:num w:numId="27">
    <w:abstractNumId w:val="135"/>
  </w:num>
  <w:num w:numId="28">
    <w:abstractNumId w:val="173"/>
  </w:num>
  <w:num w:numId="29">
    <w:abstractNumId w:val="193"/>
  </w:num>
  <w:num w:numId="30">
    <w:abstractNumId w:val="107"/>
  </w:num>
  <w:num w:numId="31">
    <w:abstractNumId w:val="72"/>
  </w:num>
  <w:num w:numId="32">
    <w:abstractNumId w:val="168"/>
  </w:num>
  <w:num w:numId="33">
    <w:abstractNumId w:val="169"/>
  </w:num>
  <w:num w:numId="34">
    <w:abstractNumId w:val="33"/>
  </w:num>
  <w:num w:numId="35">
    <w:abstractNumId w:val="114"/>
  </w:num>
  <w:num w:numId="36">
    <w:abstractNumId w:val="170"/>
  </w:num>
  <w:num w:numId="37">
    <w:abstractNumId w:val="171"/>
  </w:num>
  <w:num w:numId="38">
    <w:abstractNumId w:val="119"/>
  </w:num>
  <w:num w:numId="39">
    <w:abstractNumId w:val="185"/>
  </w:num>
  <w:num w:numId="40">
    <w:abstractNumId w:val="31"/>
  </w:num>
  <w:num w:numId="41">
    <w:abstractNumId w:val="30"/>
  </w:num>
  <w:num w:numId="42">
    <w:abstractNumId w:val="12"/>
  </w:num>
  <w:num w:numId="43">
    <w:abstractNumId w:val="141"/>
  </w:num>
  <w:num w:numId="44">
    <w:abstractNumId w:val="146"/>
  </w:num>
  <w:num w:numId="45">
    <w:abstractNumId w:val="127"/>
  </w:num>
  <w:num w:numId="46">
    <w:abstractNumId w:val="24"/>
  </w:num>
  <w:num w:numId="47">
    <w:abstractNumId w:val="180"/>
  </w:num>
  <w:num w:numId="48">
    <w:abstractNumId w:val="98"/>
  </w:num>
  <w:num w:numId="49">
    <w:abstractNumId w:val="48"/>
  </w:num>
  <w:num w:numId="50">
    <w:abstractNumId w:val="165"/>
  </w:num>
  <w:num w:numId="51">
    <w:abstractNumId w:val="184"/>
  </w:num>
  <w:num w:numId="52">
    <w:abstractNumId w:val="148"/>
  </w:num>
  <w:num w:numId="53">
    <w:abstractNumId w:val="186"/>
  </w:num>
  <w:num w:numId="54">
    <w:abstractNumId w:val="138"/>
  </w:num>
  <w:num w:numId="55">
    <w:abstractNumId w:val="68"/>
  </w:num>
  <w:num w:numId="56">
    <w:abstractNumId w:val="158"/>
  </w:num>
  <w:num w:numId="57">
    <w:abstractNumId w:val="94"/>
  </w:num>
  <w:num w:numId="58">
    <w:abstractNumId w:val="25"/>
  </w:num>
  <w:num w:numId="59">
    <w:abstractNumId w:val="54"/>
  </w:num>
  <w:num w:numId="60">
    <w:abstractNumId w:val="17"/>
  </w:num>
  <w:num w:numId="61">
    <w:abstractNumId w:val="74"/>
  </w:num>
  <w:num w:numId="62">
    <w:abstractNumId w:val="5"/>
  </w:num>
  <w:num w:numId="63">
    <w:abstractNumId w:val="63"/>
  </w:num>
  <w:num w:numId="64">
    <w:abstractNumId w:val="46"/>
  </w:num>
  <w:num w:numId="65">
    <w:abstractNumId w:val="100"/>
  </w:num>
  <w:num w:numId="66">
    <w:abstractNumId w:val="57"/>
  </w:num>
  <w:num w:numId="67">
    <w:abstractNumId w:val="134"/>
  </w:num>
  <w:num w:numId="68">
    <w:abstractNumId w:val="144"/>
  </w:num>
  <w:num w:numId="69">
    <w:abstractNumId w:val="99"/>
  </w:num>
  <w:num w:numId="70">
    <w:abstractNumId w:val="161"/>
  </w:num>
  <w:num w:numId="71">
    <w:abstractNumId w:val="38"/>
  </w:num>
  <w:num w:numId="72">
    <w:abstractNumId w:val="39"/>
  </w:num>
  <w:num w:numId="73">
    <w:abstractNumId w:val="42"/>
  </w:num>
  <w:num w:numId="74">
    <w:abstractNumId w:val="90"/>
  </w:num>
  <w:num w:numId="75">
    <w:abstractNumId w:val="189"/>
  </w:num>
  <w:num w:numId="76">
    <w:abstractNumId w:val="112"/>
  </w:num>
  <w:num w:numId="77">
    <w:abstractNumId w:val="109"/>
  </w:num>
  <w:num w:numId="78">
    <w:abstractNumId w:val="96"/>
  </w:num>
  <w:num w:numId="79">
    <w:abstractNumId w:val="129"/>
  </w:num>
  <w:num w:numId="80">
    <w:abstractNumId w:val="187"/>
  </w:num>
  <w:num w:numId="81">
    <w:abstractNumId w:val="125"/>
  </w:num>
  <w:num w:numId="82">
    <w:abstractNumId w:val="176"/>
  </w:num>
  <w:num w:numId="83">
    <w:abstractNumId w:val="36"/>
  </w:num>
  <w:num w:numId="84">
    <w:abstractNumId w:val="157"/>
  </w:num>
  <w:num w:numId="85">
    <w:abstractNumId w:val="55"/>
  </w:num>
  <w:num w:numId="86">
    <w:abstractNumId w:val="167"/>
  </w:num>
  <w:num w:numId="87">
    <w:abstractNumId w:val="9"/>
  </w:num>
  <w:num w:numId="88">
    <w:abstractNumId w:val="64"/>
  </w:num>
  <w:num w:numId="89">
    <w:abstractNumId w:val="20"/>
  </w:num>
  <w:num w:numId="90">
    <w:abstractNumId w:val="159"/>
  </w:num>
  <w:num w:numId="91">
    <w:abstractNumId w:val="190"/>
  </w:num>
  <w:num w:numId="92">
    <w:abstractNumId w:val="142"/>
  </w:num>
  <w:num w:numId="93">
    <w:abstractNumId w:val="59"/>
  </w:num>
  <w:num w:numId="94">
    <w:abstractNumId w:val="140"/>
  </w:num>
  <w:num w:numId="95">
    <w:abstractNumId w:val="104"/>
  </w:num>
  <w:num w:numId="96">
    <w:abstractNumId w:val="3"/>
  </w:num>
  <w:num w:numId="97">
    <w:abstractNumId w:val="84"/>
  </w:num>
  <w:num w:numId="98">
    <w:abstractNumId w:val="22"/>
  </w:num>
  <w:num w:numId="99">
    <w:abstractNumId w:val="16"/>
  </w:num>
  <w:num w:numId="100">
    <w:abstractNumId w:val="2"/>
  </w:num>
  <w:num w:numId="101">
    <w:abstractNumId w:val="150"/>
  </w:num>
  <w:num w:numId="102">
    <w:abstractNumId w:val="160"/>
  </w:num>
  <w:num w:numId="103">
    <w:abstractNumId w:val="13"/>
  </w:num>
  <w:num w:numId="104">
    <w:abstractNumId w:val="106"/>
  </w:num>
  <w:num w:numId="105">
    <w:abstractNumId w:val="105"/>
  </w:num>
  <w:num w:numId="106">
    <w:abstractNumId w:val="65"/>
  </w:num>
  <w:num w:numId="107">
    <w:abstractNumId w:val="1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1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91"/>
  </w:num>
  <w:num w:numId="112">
    <w:abstractNumId w:val="1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11"/>
  </w:num>
  <w:num w:numId="114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97"/>
  </w:num>
  <w:num w:numId="120">
    <w:abstractNumId w:val="181"/>
  </w:num>
  <w:num w:numId="121">
    <w:abstractNumId w:val="87"/>
  </w:num>
  <w:num w:numId="122">
    <w:abstractNumId w:val="175"/>
  </w:num>
  <w:num w:numId="123">
    <w:abstractNumId w:val="61"/>
  </w:num>
  <w:num w:numId="124">
    <w:abstractNumId w:val="179"/>
  </w:num>
  <w:num w:numId="125">
    <w:abstractNumId w:val="192"/>
  </w:num>
  <w:num w:numId="126">
    <w:abstractNumId w:val="156"/>
  </w:num>
  <w:num w:numId="127">
    <w:abstractNumId w:val="6"/>
  </w:num>
  <w:num w:numId="128">
    <w:abstractNumId w:val="32"/>
  </w:num>
  <w:num w:numId="129">
    <w:abstractNumId w:val="147"/>
  </w:num>
  <w:num w:numId="130">
    <w:abstractNumId w:val="80"/>
  </w:num>
  <w:num w:numId="131">
    <w:abstractNumId w:val="92"/>
  </w:num>
  <w:num w:numId="132">
    <w:abstractNumId w:val="182"/>
  </w:num>
  <w:num w:numId="133">
    <w:abstractNumId w:val="28"/>
  </w:num>
  <w:num w:numId="134">
    <w:abstractNumId w:val="151"/>
  </w:num>
  <w:num w:numId="135">
    <w:abstractNumId w:val="163"/>
  </w:num>
  <w:num w:numId="136">
    <w:abstractNumId w:val="88"/>
  </w:num>
  <w:num w:numId="137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96"/>
    <w:lvlOverride w:ilvl="0">
      <w:startOverride w:val="1"/>
    </w:lvlOverride>
  </w:num>
  <w:num w:numId="141">
    <w:abstractNumId w:val="129"/>
    <w:lvlOverride w:ilvl="0">
      <w:startOverride w:val="1"/>
    </w:lvlOverride>
  </w:num>
  <w:num w:numId="142">
    <w:abstractNumId w:val="1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36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39"/>
  </w:num>
  <w:num w:numId="145">
    <w:abstractNumId w:val="101"/>
  </w:num>
  <w:num w:numId="146">
    <w:abstractNumId w:val="83"/>
  </w:num>
  <w:num w:numId="147">
    <w:abstractNumId w:val="49"/>
  </w:num>
  <w:num w:numId="148">
    <w:abstractNumId w:val="21"/>
  </w:num>
  <w:num w:numId="149">
    <w:abstractNumId w:val="86"/>
  </w:num>
  <w:num w:numId="150">
    <w:abstractNumId w:val="44"/>
  </w:num>
  <w:num w:numId="151">
    <w:abstractNumId w:val="50"/>
  </w:num>
  <w:num w:numId="152">
    <w:abstractNumId w:val="10"/>
  </w:num>
  <w:num w:numId="153">
    <w:abstractNumId w:val="71"/>
  </w:num>
  <w:num w:numId="154">
    <w:abstractNumId w:val="122"/>
  </w:num>
  <w:num w:numId="155">
    <w:abstractNumId w:val="77"/>
  </w:num>
  <w:num w:numId="156">
    <w:abstractNumId w:val="60"/>
  </w:num>
  <w:num w:numId="157">
    <w:abstractNumId w:val="29"/>
  </w:num>
  <w:num w:numId="158">
    <w:abstractNumId w:val="7"/>
  </w:num>
  <w:num w:numId="159">
    <w:abstractNumId w:val="113"/>
  </w:num>
  <w:num w:numId="160">
    <w:abstractNumId w:val="85"/>
  </w:num>
  <w:num w:numId="161">
    <w:abstractNumId w:val="79"/>
  </w:num>
  <w:num w:numId="162">
    <w:abstractNumId w:val="26"/>
  </w:num>
  <w:num w:numId="163">
    <w:abstractNumId w:val="15"/>
  </w:num>
  <w:num w:numId="164">
    <w:abstractNumId w:val="53"/>
  </w:num>
  <w:num w:numId="165">
    <w:abstractNumId w:val="153"/>
  </w:num>
  <w:num w:numId="166">
    <w:abstractNumId w:val="174"/>
  </w:num>
  <w:num w:numId="167">
    <w:abstractNumId w:val="73"/>
  </w:num>
  <w:num w:numId="168">
    <w:abstractNumId w:val="75"/>
  </w:num>
  <w:num w:numId="169">
    <w:abstractNumId w:val="8"/>
  </w:num>
  <w:num w:numId="170">
    <w:abstractNumId w:val="56"/>
  </w:num>
  <w:num w:numId="171">
    <w:abstractNumId w:val="166"/>
  </w:num>
  <w:num w:numId="172">
    <w:abstractNumId w:val="126"/>
  </w:num>
  <w:num w:numId="173">
    <w:abstractNumId w:val="137"/>
  </w:num>
  <w:num w:numId="174">
    <w:abstractNumId w:val="41"/>
  </w:num>
  <w:num w:numId="175">
    <w:abstractNumId w:val="131"/>
  </w:num>
  <w:num w:numId="176">
    <w:abstractNumId w:val="62"/>
  </w:num>
  <w:num w:numId="177">
    <w:abstractNumId w:val="149"/>
  </w:num>
  <w:num w:numId="178">
    <w:abstractNumId w:val="70"/>
  </w:num>
  <w:num w:numId="179">
    <w:abstractNumId w:val="58"/>
  </w:num>
  <w:num w:numId="180">
    <w:abstractNumId w:val="116"/>
  </w:num>
  <w:num w:numId="181">
    <w:abstractNumId w:val="172"/>
  </w:num>
  <w:num w:numId="182">
    <w:abstractNumId w:val="196"/>
  </w:num>
  <w:num w:numId="183">
    <w:abstractNumId w:val="45"/>
  </w:num>
  <w:num w:numId="184">
    <w:abstractNumId w:val="152"/>
  </w:num>
  <w:num w:numId="185">
    <w:abstractNumId w:val="103"/>
  </w:num>
  <w:num w:numId="186">
    <w:abstractNumId w:val="34"/>
  </w:num>
  <w:num w:numId="187">
    <w:abstractNumId w:val="91"/>
  </w:num>
  <w:num w:numId="188">
    <w:abstractNumId w:val="27"/>
  </w:num>
  <w:num w:numId="189">
    <w:abstractNumId w:val="188"/>
  </w:num>
  <w:num w:numId="190">
    <w:abstractNumId w:val="51"/>
  </w:num>
  <w:num w:numId="191">
    <w:abstractNumId w:val="47"/>
  </w:num>
  <w:num w:numId="192">
    <w:abstractNumId w:val="40"/>
  </w:num>
  <w:num w:numId="193">
    <w:abstractNumId w:val="95"/>
  </w:num>
  <w:num w:numId="194">
    <w:abstractNumId w:val="145"/>
  </w:num>
  <w:num w:numId="195">
    <w:abstractNumId w:val="82"/>
  </w:num>
  <w:num w:numId="196">
    <w:abstractNumId w:val="177"/>
  </w:num>
  <w:num w:numId="197">
    <w:abstractNumId w:val="117"/>
  </w:num>
  <w:num w:numId="198">
    <w:abstractNumId w:val="14"/>
  </w:num>
  <w:num w:numId="199">
    <w:abstractNumId w:val="136"/>
  </w:num>
  <w:num w:numId="200">
    <w:abstractNumId w:val="133"/>
  </w:num>
  <w:num w:numId="201">
    <w:abstractNumId w:val="76"/>
  </w:num>
  <w:num w:numId="202">
    <w:abstractNumId w:val="121"/>
  </w:num>
  <w:num w:numId="203">
    <w:abstractNumId w:val="89"/>
  </w:num>
  <w:num w:numId="20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1136"/>
    <w:link w:val="113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1136"/>
    <w:link w:val="1135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33"/>
    <w:next w:val="1133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136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33"/>
    <w:next w:val="1133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136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33"/>
    <w:next w:val="113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136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33"/>
    <w:next w:val="113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13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33"/>
    <w:next w:val="113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13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33"/>
    <w:next w:val="113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13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33"/>
    <w:next w:val="113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13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1133"/>
    <w:next w:val="113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136"/>
    <w:link w:val="35"/>
    <w:uiPriority w:val="10"/>
    <w:rPr>
      <w:sz w:val="48"/>
      <w:szCs w:val="48"/>
    </w:rPr>
  </w:style>
  <w:style w:type="paragraph" w:styleId="37">
    <w:name w:val="Subtitle"/>
    <w:basedOn w:val="1133"/>
    <w:next w:val="113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136"/>
    <w:link w:val="37"/>
    <w:uiPriority w:val="11"/>
    <w:rPr>
      <w:sz w:val="24"/>
      <w:szCs w:val="24"/>
    </w:rPr>
  </w:style>
  <w:style w:type="paragraph" w:styleId="39">
    <w:name w:val="Quote"/>
    <w:basedOn w:val="1133"/>
    <w:next w:val="113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33"/>
    <w:next w:val="113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1136"/>
    <w:link w:val="1144"/>
    <w:uiPriority w:val="99"/>
  </w:style>
  <w:style w:type="character" w:styleId="46">
    <w:name w:val="Footer Char"/>
    <w:basedOn w:val="1136"/>
    <w:link w:val="1146"/>
    <w:uiPriority w:val="99"/>
  </w:style>
  <w:style w:type="paragraph" w:styleId="47">
    <w:name w:val="Caption"/>
    <w:basedOn w:val="1133"/>
    <w:next w:val="113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136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11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11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11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11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11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11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11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11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11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11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11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11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1154"/>
    <w:uiPriority w:val="99"/>
    <w:rPr>
      <w:sz w:val="18"/>
    </w:rPr>
  </w:style>
  <w:style w:type="paragraph" w:styleId="179">
    <w:name w:val="endnote text"/>
    <w:basedOn w:val="113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136"/>
    <w:uiPriority w:val="99"/>
    <w:semiHidden/>
    <w:unhideWhenUsed/>
    <w:rPr>
      <w:vertAlign w:val="superscript"/>
    </w:rPr>
  </w:style>
  <w:style w:type="paragraph" w:styleId="182">
    <w:name w:val="toc 1"/>
    <w:basedOn w:val="1133"/>
    <w:next w:val="113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33"/>
    <w:next w:val="113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33"/>
    <w:next w:val="113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33"/>
    <w:next w:val="113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33"/>
    <w:next w:val="113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33"/>
    <w:next w:val="113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33"/>
    <w:next w:val="113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33"/>
    <w:next w:val="113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33"/>
    <w:next w:val="113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33"/>
    <w:next w:val="1133"/>
    <w:uiPriority w:val="99"/>
    <w:unhideWhenUsed/>
    <w:pPr>
      <w:spacing w:after="0" w:afterAutospacing="0"/>
    </w:pPr>
  </w:style>
  <w:style w:type="paragraph" w:styleId="113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34">
    <w:name w:val="Heading 1"/>
    <w:basedOn w:val="1133"/>
    <w:next w:val="1133"/>
    <w:link w:val="1139"/>
    <w:uiPriority w:val="9"/>
    <w:qFormat/>
    <w:pPr>
      <w:keepNext/>
      <w:spacing w:after="160" w:line="259" w:lineRule="auto"/>
      <w:outlineLvl w:val="0"/>
    </w:pPr>
    <w:rPr>
      <w:rFonts w:ascii="Tahoma" w:hAnsi="Tahoma" w:cs="Tahoma" w:eastAsiaTheme="minorHAnsi"/>
      <w:b/>
      <w:sz w:val="20"/>
      <w:szCs w:val="20"/>
      <w:lang w:eastAsia="en-US"/>
    </w:rPr>
  </w:style>
  <w:style w:type="paragraph" w:styleId="1135">
    <w:name w:val="Heading 2"/>
    <w:basedOn w:val="1133"/>
    <w:next w:val="1133"/>
    <w:link w:val="1168"/>
    <w:uiPriority w:val="9"/>
    <w:semiHidden/>
    <w:unhideWhenUsed/>
    <w:qFormat/>
    <w:pPr>
      <w:keepLines/>
      <w:keepNext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1136" w:default="1">
    <w:name w:val="Default Paragraph Font"/>
    <w:uiPriority w:val="1"/>
    <w:semiHidden/>
    <w:unhideWhenUsed/>
  </w:style>
  <w:style w:type="table" w:styleId="11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38" w:default="1">
    <w:name w:val="No List"/>
    <w:uiPriority w:val="99"/>
    <w:semiHidden/>
    <w:unhideWhenUsed/>
  </w:style>
  <w:style w:type="character" w:styleId="1139" w:customStyle="1">
    <w:name w:val="Заголовок 1 Знак"/>
    <w:basedOn w:val="1136"/>
    <w:link w:val="1134"/>
    <w:uiPriority w:val="9"/>
    <w:rPr>
      <w:rFonts w:ascii="Tahoma" w:hAnsi="Tahoma" w:cs="Tahoma"/>
      <w:b/>
      <w:sz w:val="20"/>
      <w:szCs w:val="20"/>
    </w:rPr>
  </w:style>
  <w:style w:type="table" w:styleId="1140" w:customStyle="1">
    <w:name w:val="Table Grid"/>
    <w:pPr>
      <w:spacing w:after="0" w:line="240" w:lineRule="auto"/>
    </w:pPr>
    <w:rPr>
      <w:rFonts w:eastAsiaTheme="minorEastAsia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141">
    <w:name w:val="List Paragraph"/>
    <w:basedOn w:val="1133"/>
    <w:link w:val="1167"/>
    <w:uiPriority w:val="34"/>
    <w:qFormat/>
    <w:pPr>
      <w:contextualSpacing/>
      <w:ind w:left="720"/>
      <w:jc w:val="both"/>
      <w:spacing w:after="148" w:line="267" w:lineRule="auto"/>
    </w:pPr>
    <w:rPr>
      <w:rFonts w:ascii="Tahoma" w:hAnsi="Tahoma" w:eastAsia="Tahoma" w:cs="Tahoma"/>
      <w:color w:val="000000"/>
      <w:sz w:val="20"/>
      <w:szCs w:val="22"/>
    </w:rPr>
  </w:style>
  <w:style w:type="paragraph" w:styleId="1142">
    <w:name w:val="Normal (Web)"/>
    <w:basedOn w:val="1133"/>
    <w:uiPriority w:val="99"/>
    <w:pPr>
      <w:spacing w:before="100" w:beforeAutospacing="1" w:after="100" w:afterAutospacing="1"/>
    </w:pPr>
  </w:style>
  <w:style w:type="character" w:styleId="1143">
    <w:name w:val="Strong"/>
    <w:basedOn w:val="1136"/>
    <w:uiPriority w:val="22"/>
    <w:qFormat/>
    <w:rPr>
      <w:b/>
      <w:bCs/>
    </w:rPr>
  </w:style>
  <w:style w:type="paragraph" w:styleId="1144">
    <w:name w:val="Header"/>
    <w:basedOn w:val="1133"/>
    <w:link w:val="1145"/>
    <w:uiPriority w:val="99"/>
    <w:unhideWhenUsed/>
    <w:pPr>
      <w:tabs>
        <w:tab w:val="center" w:pos="4677" w:leader="none"/>
        <w:tab w:val="right" w:pos="9355" w:leader="none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1145" w:customStyle="1">
    <w:name w:val="Верхний колонтитул Знак"/>
    <w:basedOn w:val="1136"/>
    <w:link w:val="1144"/>
    <w:uiPriority w:val="99"/>
  </w:style>
  <w:style w:type="paragraph" w:styleId="1146">
    <w:name w:val="Footer"/>
    <w:basedOn w:val="1133"/>
    <w:link w:val="1147"/>
    <w:uiPriority w:val="99"/>
    <w:unhideWhenUsed/>
    <w:pPr>
      <w:tabs>
        <w:tab w:val="center" w:pos="4677" w:leader="none"/>
        <w:tab w:val="right" w:pos="9355" w:leader="none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1147" w:customStyle="1">
    <w:name w:val="Нижний колонтитул Знак"/>
    <w:basedOn w:val="1136"/>
    <w:link w:val="1146"/>
    <w:uiPriority w:val="99"/>
  </w:style>
  <w:style w:type="character" w:styleId="1148" w:customStyle="1">
    <w:name w:val="Текст примечания Знак"/>
    <w:basedOn w:val="1136"/>
    <w:link w:val="1149"/>
    <w:uiPriority w:val="99"/>
    <w:semiHidden/>
    <w:rPr>
      <w:sz w:val="20"/>
      <w:szCs w:val="20"/>
    </w:rPr>
  </w:style>
  <w:style w:type="paragraph" w:styleId="1149">
    <w:name w:val="annotation text"/>
    <w:basedOn w:val="1133"/>
    <w:link w:val="1148"/>
    <w:uiPriority w:val="99"/>
    <w:semiHidden/>
    <w:unhideWhenUsed/>
    <w:pPr>
      <w:spacing w:after="160"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1150" w:customStyle="1">
    <w:name w:val="Текст выноски Знак"/>
    <w:basedOn w:val="1136"/>
    <w:link w:val="1151"/>
    <w:uiPriority w:val="99"/>
    <w:semiHidden/>
    <w:rPr>
      <w:rFonts w:ascii="Segoe UI" w:hAnsi="Segoe UI" w:cs="Segoe UI"/>
      <w:sz w:val="18"/>
      <w:szCs w:val="18"/>
    </w:rPr>
  </w:style>
  <w:style w:type="paragraph" w:styleId="1151">
    <w:name w:val="Balloon Text"/>
    <w:basedOn w:val="1133"/>
    <w:link w:val="1150"/>
    <w:uiPriority w:val="99"/>
    <w:semiHidden/>
    <w:unhideWhenUsed/>
    <w:rPr>
      <w:rFonts w:ascii="Segoe UI" w:hAnsi="Segoe UI" w:cs="Segoe UI" w:eastAsiaTheme="minorHAnsi"/>
      <w:sz w:val="18"/>
      <w:szCs w:val="18"/>
      <w:lang w:eastAsia="en-US"/>
    </w:rPr>
  </w:style>
  <w:style w:type="character" w:styleId="1152" w:customStyle="1">
    <w:name w:val="Тема примечания Знак"/>
    <w:basedOn w:val="1148"/>
    <w:link w:val="1153"/>
    <w:uiPriority w:val="99"/>
    <w:semiHidden/>
    <w:rPr>
      <w:b/>
      <w:bCs/>
      <w:sz w:val="20"/>
      <w:szCs w:val="20"/>
    </w:rPr>
  </w:style>
  <w:style w:type="paragraph" w:styleId="1153">
    <w:name w:val="annotation subject"/>
    <w:basedOn w:val="1149"/>
    <w:next w:val="1149"/>
    <w:link w:val="1152"/>
    <w:uiPriority w:val="99"/>
    <w:semiHidden/>
    <w:unhideWhenUsed/>
    <w:rPr>
      <w:b/>
      <w:bCs/>
    </w:rPr>
  </w:style>
  <w:style w:type="paragraph" w:styleId="1154">
    <w:name w:val="footnote text"/>
    <w:basedOn w:val="1133"/>
    <w:link w:val="1155"/>
    <w:uiPriority w:val="99"/>
    <w:semiHidden/>
    <w:unhideWhenUsed/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1155" w:customStyle="1">
    <w:name w:val="Текст сноски Знак"/>
    <w:basedOn w:val="1136"/>
    <w:link w:val="1154"/>
    <w:uiPriority w:val="99"/>
    <w:semiHidden/>
    <w:rPr>
      <w:sz w:val="20"/>
      <w:szCs w:val="20"/>
    </w:rPr>
  </w:style>
  <w:style w:type="character" w:styleId="1156">
    <w:name w:val="footnote reference"/>
    <w:uiPriority w:val="99"/>
    <w:rPr>
      <w:vertAlign w:val="superscript"/>
    </w:rPr>
  </w:style>
  <w:style w:type="character" w:styleId="1157">
    <w:name w:val="Hyperlink"/>
    <w:basedOn w:val="1136"/>
    <w:uiPriority w:val="99"/>
    <w:unhideWhenUsed/>
    <w:rPr>
      <w:color w:val="0563c1" w:themeColor="hyperlink"/>
      <w:u w:val="single"/>
    </w:rPr>
  </w:style>
  <w:style w:type="numbering" w:styleId="1158" w:customStyle="1">
    <w:name w:val="Нет списка1"/>
    <w:next w:val="1138"/>
    <w:uiPriority w:val="99"/>
    <w:semiHidden/>
    <w:unhideWhenUsed/>
  </w:style>
  <w:style w:type="table" w:styleId="1159" w:customStyle="1">
    <w:name w:val="TableGrid1"/>
    <w:pPr>
      <w:spacing w:after="0" w:line="240" w:lineRule="auto"/>
    </w:pPr>
    <w:rPr>
      <w:rFonts w:eastAsiaTheme="minorEastAsia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160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character" w:styleId="1161">
    <w:name w:val="Unresolved Mention"/>
    <w:basedOn w:val="1136"/>
    <w:uiPriority w:val="99"/>
    <w:semiHidden/>
    <w:unhideWhenUsed/>
    <w:rPr>
      <w:color w:val="605e5c"/>
      <w:shd w:val="clear" w:color="auto" w:fill="e1dfdd"/>
    </w:rPr>
  </w:style>
  <w:style w:type="numbering" w:styleId="1162" w:customStyle="1">
    <w:name w:val="Нет списка2"/>
    <w:next w:val="1138"/>
    <w:uiPriority w:val="99"/>
    <w:semiHidden/>
    <w:unhideWhenUsed/>
  </w:style>
  <w:style w:type="table" w:styleId="1163" w:customStyle="1">
    <w:name w:val="TableGrid2"/>
    <w:pPr>
      <w:spacing w:after="0" w:line="240" w:lineRule="auto"/>
    </w:pPr>
    <w:rPr>
      <w:rFonts w:eastAsiaTheme="minorEastAsia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numbering" w:styleId="1164" w:customStyle="1">
    <w:name w:val="Нет списка11"/>
    <w:next w:val="1138"/>
    <w:uiPriority w:val="99"/>
    <w:semiHidden/>
    <w:unhideWhenUsed/>
  </w:style>
  <w:style w:type="table" w:styleId="1165" w:customStyle="1">
    <w:name w:val="TableGrid11"/>
    <w:pPr>
      <w:spacing w:after="0" w:line="240" w:lineRule="auto"/>
    </w:pPr>
    <w:rPr>
      <w:rFonts w:eastAsiaTheme="minorEastAsia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166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1167" w:customStyle="1">
    <w:name w:val="Абзац списка Знак"/>
    <w:link w:val="1141"/>
    <w:uiPriority w:val="34"/>
    <w:rPr>
      <w:rFonts w:ascii="Tahoma" w:hAnsi="Tahoma" w:eastAsia="Tahoma" w:cs="Tahoma"/>
      <w:color w:val="000000"/>
      <w:sz w:val="20"/>
      <w:lang w:eastAsia="ru-RU"/>
    </w:rPr>
  </w:style>
  <w:style w:type="character" w:styleId="1168" w:customStyle="1">
    <w:name w:val="Заголовок 2 Знак"/>
    <w:basedOn w:val="1136"/>
    <w:link w:val="1135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ru-RU"/>
    </w:rPr>
  </w:style>
  <w:style w:type="paragraph" w:styleId="1169">
    <w:name w:val="No Spacing"/>
    <w:uiPriority w:val="1"/>
    <w:qFormat/>
    <w:pPr>
      <w:spacing w:after="0" w:line="240" w:lineRule="auto"/>
    </w:pPr>
  </w:style>
  <w:style w:type="paragraph" w:styleId="1170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customXml" Target="../customXml/item1.xml" /><Relationship Id="rId13" Type="http://schemas.openxmlformats.org/officeDocument/2006/relationships/hyperlink" Target="https://auditor-sro.org/activity/povyshenie_kvalifikacii/programmy_povysheniya_kvalifikacii_auditorov/obuchenie_2020/" TargetMode="External"/><Relationship Id="rId14" Type="http://schemas.openxmlformats.org/officeDocument/2006/relationships/hyperlink" Target="https://auditor-sro.org/activity/povyshenie_kvalifikacii/programmy_povysheniya_kvalifikacii_auditorov/obuchenie_2020/" TargetMode="External"/><Relationship Id="rId15" Type="http://schemas.openxmlformats.org/officeDocument/2006/relationships/hyperlink" Target="https://auditor-sro.org/activity/povyshenie_kvalifikacii/programmy_povysheniya_kvalifikacii_auditorov/obuchenie_2020/" TargetMode="External"/><Relationship Id="rId16" Type="http://schemas.openxmlformats.org/officeDocument/2006/relationships/hyperlink" Target="https://auditor-sro.org/activity/povyshenie_kvalifikacii/programmy_povysheniya_kvalifikacii_auditorov/obuchenie_2020/" TargetMode="External"/><Relationship Id="rId17" Type="http://schemas.openxmlformats.org/officeDocument/2006/relationships/hyperlink" Target="https://auditor-sro.org/activity/povyshenie_kvalifikacii/programmy_povysheniya_kvalifikacii_auditorov/obuchenie_2020/" TargetMode="External"/><Relationship Id="rId18" Type="http://schemas.openxmlformats.org/officeDocument/2006/relationships/hyperlink" Target="https://auditor-sro.org/activity/povyshenie_kvalifikacii/programmy_povysheniya_kvalifikacii_auditorov/obuchenie_2020/" TargetMode="External"/><Relationship Id="rId19" Type="http://schemas.openxmlformats.org/officeDocument/2006/relationships/hyperlink" Target="https://auditor-sro.org/activity/povyshenie_kvalifikacii/programmy_povysheniya_kvalifikacii_auditorov/obuchenie_2020/" TargetMode="External"/><Relationship Id="rId20" Type="http://schemas.openxmlformats.org/officeDocument/2006/relationships/hyperlink" Target="https://auditor-sro.org/activity/povyshenie_kvalifikacii/programmy_povysheniya_kvalifikacii_auditorov/obuchenie_2020/" TargetMode="External"/><Relationship Id="rId21" Type="http://schemas.openxmlformats.org/officeDocument/2006/relationships/hyperlink" Target="https://auditor-sro.org/activity/povyshenie_kvalifikacii/programmy_povysheniya_kvalifikacii_auditorov/obuchenie_2020/" TargetMode="External"/><Relationship Id="rId22" Type="http://schemas.openxmlformats.org/officeDocument/2006/relationships/hyperlink" Target="https://auditor-sro.org/activity/povyshenie_kvalifikacii/programmy_povysheniya_kvalifikacii_auditorov/obuchenie_2020/" TargetMode="External"/><Relationship Id="rId23" Type="http://schemas.openxmlformats.org/officeDocument/2006/relationships/hyperlink" Target="https://auditor-sro.org/activity/povyshenie_kvalifikacii/programmy_povysheniya_kvalifikacii_auditorov/obuchenie_2020/" TargetMode="External"/><Relationship Id="rId24" Type="http://schemas.openxmlformats.org/officeDocument/2006/relationships/hyperlink" Target="https://auditor-sro.org/activity/povyshenie_kvalifikacii/programmy_povysheniya_kvalifikacii_auditorov/obuchenie_2020/" TargetMode="External"/><Relationship Id="rId25" Type="http://schemas.openxmlformats.org/officeDocument/2006/relationships/hyperlink" Target="https://auditor-sro.org/activity/povyshenie_kvalifikacii/programmy_povysheniya_kvalifikacii_auditorov/obuchenie_2020/" TargetMode="External"/><Relationship Id="rId26" Type="http://schemas.openxmlformats.org/officeDocument/2006/relationships/hyperlink" Target="https://auditor-sro.org/activity/povyshenie_kvalifikacii/programmy_povysheniya_kvalifikacii_auditorov/obuchenie_2020/" TargetMode="External"/><Relationship Id="rId27" Type="http://schemas.openxmlformats.org/officeDocument/2006/relationships/hyperlink" Target="https://auditor-sro.org/activity/povyshenie_kvalifikacii/programmy_povysheniya_kvalifikacii_auditorov/obuchenie_2020/" TargetMode="External"/><Relationship Id="rId28" Type="http://schemas.openxmlformats.org/officeDocument/2006/relationships/hyperlink" Target="https://auditor-sro.org/activity/povyshenie_kvalifikacii/programmy_povysheniya_kvalifikacii_auditorov/obuchenie_2020/" TargetMode="External"/><Relationship Id="rId29" Type="http://schemas.openxmlformats.org/officeDocument/2006/relationships/hyperlink" Target="https://auditor-sro.org/activity/povyshenie_kvalifikacii/programmy_povysheniya_kvalifikacii_auditorov/obuchenie_2020/" TargetMode="External"/><Relationship Id="rId30" Type="http://schemas.openxmlformats.org/officeDocument/2006/relationships/hyperlink" Target="https://login.consultant.ru/link/?req=doc&amp;demo=2&amp;base=LAW&amp;n=394847&amp;date=26.06.2022" TargetMode="External"/><Relationship Id="rId31" Type="http://schemas.openxmlformats.org/officeDocument/2006/relationships/hyperlink" Target="https://login.consultant.ru/link/?req=doc&amp;demo=2&amp;base=LAW&amp;n=394847&amp;date=26.06.2022" TargetMode="External"/><Relationship Id="rId32" Type="http://schemas.openxmlformats.org/officeDocument/2006/relationships/hyperlink" Target="https://login.consultant.ru/link/?req=doc&amp;demo=2&amp;base=LAW&amp;n=394847&amp;date=26.06.2022" TargetMode="External"/><Relationship Id="rId33" Type="http://schemas.openxmlformats.org/officeDocument/2006/relationships/hyperlink" Target="https://login.consultant.ru/link/?req=doc&amp;demo=2&amp;base=LAW&amp;n=380195&amp;date=26.06.2022" TargetMode="External"/><Relationship Id="rId34" Type="http://schemas.openxmlformats.org/officeDocument/2006/relationships/hyperlink" Target="https://login.consultant.ru/link/?req=doc&amp;demo=2&amp;base=LAW&amp;n=380195&amp;date=26.06.2022" TargetMode="External"/><Relationship Id="rId35" Type="http://schemas.openxmlformats.org/officeDocument/2006/relationships/hyperlink" Target="https://login.consultant.ru/link/?req=doc&amp;demo=2&amp;base=LAW&amp;n=380195&amp;date=26.06.2022" TargetMode="External"/><Relationship Id="rId36" Type="http://schemas.openxmlformats.org/officeDocument/2006/relationships/hyperlink" Target="https://login.consultant.ru/link/?req=doc&amp;demo=2&amp;base=LAW&amp;n=202743&amp;date=26.06.2022" TargetMode="External"/><Relationship Id="rId37" Type="http://schemas.openxmlformats.org/officeDocument/2006/relationships/hyperlink" Target="https://login.consultant.ru/link/?req=doc&amp;demo=2&amp;base=LAW&amp;n=317495&amp;date=26.06.2022" TargetMode="External"/><Relationship Id="rId38" Type="http://schemas.openxmlformats.org/officeDocument/2006/relationships/hyperlink" Target="https://login.consultant.ru/link/?req=doc&amp;demo=2&amp;base=LAW&amp;n=316185&amp;date=26.06.2022" TargetMode="External"/><Relationship Id="rId39" Type="http://schemas.openxmlformats.org/officeDocument/2006/relationships/hyperlink" Target="https://login.consultant.ru/link/?req=doc&amp;demo=2&amp;base=LAW&amp;n=380200&amp;date=26.06.2022" TargetMode="External"/><Relationship Id="rId40" Type="http://schemas.openxmlformats.org/officeDocument/2006/relationships/hyperlink" Target="https://login.consultant.ru/link/?req=doc&amp;demo=2&amp;base=LAW&amp;n=380200&amp;date=26.06.2022&amp;dst=100067&amp;field=134" TargetMode="External"/><Relationship Id="rId41" Type="http://schemas.openxmlformats.org/officeDocument/2006/relationships/hyperlink" Target="https://login.consultant.ru/link/?req=doc&amp;demo=2&amp;base=LAW&amp;n=380200&amp;date=26.06.2022&amp;dst=100080&amp;field=134" TargetMode="External"/><Relationship Id="rId42" Type="http://schemas.openxmlformats.org/officeDocument/2006/relationships/hyperlink" Target="https://login.consultant.ru/link/?req=doc&amp;demo=2&amp;base=LAW&amp;n=349726&amp;date=26.06.2022" TargetMode="External"/><Relationship Id="rId43" Type="http://schemas.openxmlformats.org/officeDocument/2006/relationships/hyperlink" Target="https://login.consultant.ru/link/?req=doc&amp;demo=2&amp;base=LAW&amp;n=384809&amp;date=26.06.2022" TargetMode="External"/><Relationship Id="rId44" Type="http://schemas.openxmlformats.org/officeDocument/2006/relationships/hyperlink" Target="https://login.consultant.ru/link/?req=doc&amp;demo=2&amp;base=LAW&amp;n=384809&amp;date=26.06.2022" TargetMode="External"/><Relationship Id="rId45" Type="http://schemas.openxmlformats.org/officeDocument/2006/relationships/hyperlink" Target="https://login.consultant.ru/link/?req=doc&amp;demo=2&amp;base=LAW&amp;n=384809&amp;date=26.06.2022" TargetMode="External"/><Relationship Id="rId46" Type="http://schemas.openxmlformats.org/officeDocument/2006/relationships/hyperlink" Target="https://login.consultant.ru/link/?req=doc&amp;demo=2&amp;base=LAW&amp;n=384809&amp;date=26.06.2022" TargetMode="External"/><Relationship Id="rId47" Type="http://schemas.openxmlformats.org/officeDocument/2006/relationships/hyperlink" Target="https://login.consultant.ru/link/?req=doc&amp;demo=2&amp;base=LAW&amp;n=384809&amp;date=26.06.2022" TargetMode="External"/><Relationship Id="rId48" Type="http://schemas.openxmlformats.org/officeDocument/2006/relationships/hyperlink" Target="https://login.consultant.ru/link/?req=doc&amp;demo=2&amp;base=LAW&amp;n=384809&amp;date=26.06.2022" TargetMode="External"/><Relationship Id="rId49" Type="http://schemas.openxmlformats.org/officeDocument/2006/relationships/hyperlink" Target="https://login.consultant.ru/link/?req=doc&amp;demo=2&amp;base=LAW&amp;n=384809&amp;date=26.06.2022" TargetMode="External"/><Relationship Id="rId50" Type="http://schemas.openxmlformats.org/officeDocument/2006/relationships/hyperlink" Target="https://login.consultant.ru/link/?req=doc&amp;demo=2&amp;base=LAW&amp;n=384809&amp;date=26.06.2022" TargetMode="External"/><Relationship Id="rId51" Type="http://schemas.openxmlformats.org/officeDocument/2006/relationships/hyperlink" Target="https://login.consultant.ru/link/?req=doc&amp;demo=2&amp;base=LAW&amp;n=384809&amp;date=26.06.2022" TargetMode="External"/><Relationship Id="rId52" Type="http://schemas.openxmlformats.org/officeDocument/2006/relationships/hyperlink" Target="https://login.consultant.ru/link/?req=doc&amp;demo=2&amp;base=LAW&amp;n=380195&amp;date=18.02.2023" TargetMode="External"/><Relationship Id="rId53" Type="http://schemas.openxmlformats.org/officeDocument/2006/relationships/hyperlink" Target="https://login.consultant.ru/link/?req=doc&amp;demo=2&amp;base=LAW&amp;n=380199&amp;date=18.02.2023" TargetMode="External"/><Relationship Id="rId54" Type="http://schemas.openxmlformats.org/officeDocument/2006/relationships/hyperlink" Target="https://login.consultant.ru/link/?req=doc&amp;demo=2&amp;base=LAW&amp;n=388746&amp;date=18.02.2023" TargetMode="External"/><Relationship Id="rId55" Type="http://schemas.openxmlformats.org/officeDocument/2006/relationships/hyperlink" Target="https://login.consultant.ru/link/?req=doc&amp;demo=2&amp;base=LAW&amp;n=380195&amp;date=18.02.2023" TargetMode="External"/><Relationship Id="rId56" Type="http://schemas.openxmlformats.org/officeDocument/2006/relationships/hyperlink" Target="https://login.consultant.ru/link/?req=doc&amp;demo=2&amp;base=LAW&amp;n=380199&amp;date=18.02.2023" TargetMode="External"/><Relationship Id="rId57" Type="http://schemas.openxmlformats.org/officeDocument/2006/relationships/hyperlink" Target="https://login.consultant.ru/link/?req=doc&amp;demo=2&amp;base=LAW&amp;n=202743&amp;date=18.02.2023" TargetMode="External"/><Relationship Id="rId58" Type="http://schemas.openxmlformats.org/officeDocument/2006/relationships/hyperlink" Target="https://login.consultant.ru/link/?req=doc&amp;demo=2&amp;base=LAW&amp;n=436374&amp;date=18.02.2023" TargetMode="External"/><Relationship Id="rId59" Type="http://schemas.openxmlformats.org/officeDocument/2006/relationships/hyperlink" Target="https://login.consultant.ru/link/?req=doc&amp;demo=2&amp;base=LAW&amp;n=365734&amp;date=26.06.2022" TargetMode="External"/><Relationship Id="rId60" Type="http://schemas.openxmlformats.org/officeDocument/2006/relationships/hyperlink" Target="https://login.consultant.ru/link/?req=doc&amp;demo=2&amp;base=LAW&amp;n=202325&amp;dst=100091&amp;field=134&amp;date=26.06.2022" TargetMode="External"/><Relationship Id="rId61" Type="http://schemas.openxmlformats.org/officeDocument/2006/relationships/hyperlink" Target="https://login.consultant.ru/link/?req=doc&amp;demo=2&amp;base=LAW&amp;n=374630&amp;date=26.06.2022" TargetMode="External"/><Relationship Id="rId62" Type="http://schemas.openxmlformats.org/officeDocument/2006/relationships/hyperlink" Target="https://login.consultant.ru/link/?req=doc&amp;demo=2&amp;base=LAW&amp;n=380195&amp;date=26.06.2022" TargetMode="External"/><Relationship Id="rId63" Type="http://schemas.openxmlformats.org/officeDocument/2006/relationships/hyperlink" Target="https://login.consultant.ru/link/?req=doc&amp;demo=2&amp;base=LAW&amp;n=380200&amp;date=26.06.2022" TargetMode="External"/><Relationship Id="rId64" Type="http://schemas.openxmlformats.org/officeDocument/2006/relationships/hyperlink" Target="https://login.consultant.ru/link/?req=doc&amp;demo=2&amp;base=LAW&amp;n=380200&amp;date=26.06.2022" TargetMode="External"/><Relationship Id="rId65" Type="http://schemas.openxmlformats.org/officeDocument/2006/relationships/hyperlink" Target="https://login.consultant.ru/link/?req=doc&amp;demo=2&amp;base=LAW&amp;n=380195&amp;date=26.06.2022" TargetMode="External"/><Relationship Id="rId66" Type="http://schemas.openxmlformats.org/officeDocument/2006/relationships/hyperlink" Target="https://login.consultant.ru/link/?req=doc&amp;demo=2&amp;base=LAW&amp;n=380200&amp;dst=100067&amp;field=134&amp;date=26.06.2022" TargetMode="External"/><Relationship Id="rId67" Type="http://schemas.openxmlformats.org/officeDocument/2006/relationships/hyperlink" Target="https://login.consultant.ru/link/?req=doc&amp;demo=2&amp;base=LAW&amp;n=380200&amp;dst=100080&amp;field=134&amp;date=26.06.2022" TargetMode="External"/><Relationship Id="rId68" Type="http://schemas.openxmlformats.org/officeDocument/2006/relationships/hyperlink" Target="https://login.consultant.ru/link/?req=doc&amp;demo=2&amp;base=LAW&amp;n=202743&amp;date=26.06.2022" TargetMode="External"/><Relationship Id="rId69" Type="http://schemas.openxmlformats.org/officeDocument/2006/relationships/hyperlink" Target="https://login.consultant.ru/link/?req=doc&amp;demo=2&amp;base=LAW&amp;n=202743&amp;dst=100184&amp;field=134&amp;date=26.06.2022" TargetMode="External"/><Relationship Id="rId70" Type="http://schemas.openxmlformats.org/officeDocument/2006/relationships/hyperlink" Target="https://login.consultant.ru/link/?req=doc&amp;demo=2&amp;base=LAW&amp;n=209457&amp;date=26.06.2022" TargetMode="External"/><Relationship Id="rId71" Type="http://schemas.openxmlformats.org/officeDocument/2006/relationships/hyperlink" Target="https://login.consultant.ru/link/?req=doc&amp;demo=2&amp;base=LAW&amp;n=380195&amp;date=26.06.2022" TargetMode="External"/><Relationship Id="rId72" Type="http://schemas.openxmlformats.org/officeDocument/2006/relationships/hyperlink" Target="https://login.consultant.ru/link/?req=doc&amp;demo=2&amp;base=LAW&amp;n=365733&amp;date=26.06.2022" TargetMode="External"/><Relationship Id="rId73" Type="http://schemas.openxmlformats.org/officeDocument/2006/relationships/hyperlink" Target="https://login.consultant.ru/link/?req=doc&amp;demo=2&amp;base=LAW&amp;n=365734&amp;date=26.06.2022" TargetMode="External"/><Relationship Id="rId74" Type="http://schemas.openxmlformats.org/officeDocument/2006/relationships/hyperlink" Target="https://login.consultant.ru/link/?req=doc&amp;demo=2&amp;base=LAW&amp;n=202325&amp;dst=100091&amp;field=134&amp;date=26.06.2022" TargetMode="External"/><Relationship Id="rId75" Type="http://schemas.openxmlformats.org/officeDocument/2006/relationships/hyperlink" Target="https://login.consultant.ru/link/?req=doc&amp;demo=2&amp;base=LAW&amp;n=374630&amp;date=26.06.2022" TargetMode="External"/><Relationship Id="rId76" Type="http://schemas.openxmlformats.org/officeDocument/2006/relationships/hyperlink" Target="https://login.consultant.ru/link/?req=doc&amp;demo=2&amp;base=LAW&amp;n=380195&amp;date=26.06.2022" TargetMode="External"/><Relationship Id="rId77" Type="http://schemas.openxmlformats.org/officeDocument/2006/relationships/hyperlink" Target="https://login.consultant.ru/link/?req=doc&amp;demo=2&amp;base=LAW&amp;n=380200&amp;date=26.06.2022" TargetMode="External"/><Relationship Id="rId78" Type="http://schemas.openxmlformats.org/officeDocument/2006/relationships/hyperlink" Target="https://login.consultant.ru/link/?req=doc&amp;demo=2&amp;base=LAW&amp;n=380200&amp;date=26.06.2022" TargetMode="External"/><Relationship Id="rId79" Type="http://schemas.openxmlformats.org/officeDocument/2006/relationships/hyperlink" Target="https://login.consultant.ru/link/?req=doc&amp;demo=2&amp;base=LAW&amp;n=380195&amp;date=26.06.2022" TargetMode="External"/><Relationship Id="rId80" Type="http://schemas.openxmlformats.org/officeDocument/2006/relationships/hyperlink" Target="https://login.consultant.ru/link/?req=doc&amp;demo=2&amp;base=LAW&amp;n=380200&amp;dst=100067&amp;field=134&amp;date=26.06.2022" TargetMode="External"/><Relationship Id="rId81" Type="http://schemas.openxmlformats.org/officeDocument/2006/relationships/hyperlink" Target="https://login.consultant.ru/link/?req=doc&amp;demo=2&amp;base=LAW&amp;n=380200&amp;dst=100080&amp;field=134&amp;date=26.06.2022" TargetMode="External"/><Relationship Id="rId82" Type="http://schemas.openxmlformats.org/officeDocument/2006/relationships/hyperlink" Target="https://login.consultant.ru/link/?req=doc&amp;demo=2&amp;base=LAW&amp;n=202743&amp;date=26.06.2022" TargetMode="External"/><Relationship Id="rId83" Type="http://schemas.openxmlformats.org/officeDocument/2006/relationships/hyperlink" Target="https://login.consultant.ru/link/?req=doc&amp;demo=2&amp;base=LAW&amp;n=202743&amp;dst=100184&amp;field=134&amp;date=26.06.2022" TargetMode="External"/><Relationship Id="rId84" Type="http://schemas.openxmlformats.org/officeDocument/2006/relationships/hyperlink" Target="https://login.consultant.ru/link/?req=doc&amp;demo=2&amp;base=LAW&amp;n=209457&amp;date=26.06.2022" TargetMode="External"/><Relationship Id="rId85" Type="http://schemas.openxmlformats.org/officeDocument/2006/relationships/hyperlink" Target="https://login.consultant.ru/link/?req=doc&amp;demo=2&amp;base=LAW&amp;n=380195&amp;date=26.06.2022" TargetMode="External"/><Relationship Id="rId86" Type="http://schemas.openxmlformats.org/officeDocument/2006/relationships/hyperlink" Target="https://login.consultant.ru/link/?req=doc&amp;demo=2&amp;base=LAW&amp;n=365733&amp;date=26.06.2022" TargetMode="External"/><Relationship Id="rId87" Type="http://schemas.openxmlformats.org/officeDocument/2006/relationships/hyperlink" Target="https://login.consultant.ru/link/?req=doc&amp;base=LAW&amp;n=443579&amp;dst=100367&amp;field=134&amp;date=15.10.2024" TargetMode="External"/><Relationship Id="rId88" Type="http://schemas.openxmlformats.org/officeDocument/2006/relationships/hyperlink" Target="https://login.consultant.ru/link/?req=doc&amp;base=LAW&amp;n=443579&amp;dst=100494&amp;field=134&amp;date=15.10.2024" TargetMode="External"/><Relationship Id="rId89" Type="http://schemas.openxmlformats.org/officeDocument/2006/relationships/hyperlink" Target="https://login.consultant.ru/link/?req=doc&amp;base=LAW&amp;n=443579&amp;dst=100367&amp;field=134&amp;date=15.10.2024" TargetMode="External"/><Relationship Id="rId90" Type="http://schemas.openxmlformats.org/officeDocument/2006/relationships/hyperlink" Target="https://login.consultant.ru/link/?req=doc&amp;base=LAW&amp;n=443579&amp;dst=100494&amp;field=134&amp;date=15.10.2024" TargetMode="External"/><Relationship Id="rId91" Type="http://schemas.openxmlformats.org/officeDocument/2006/relationships/hyperlink" Target="https://login.consultant.ru/link/?req=doc&amp;demo=2&amp;base=LAW&amp;n=365734&amp;date=26.06.2022" TargetMode="External"/><Relationship Id="rId92" Type="http://schemas.openxmlformats.org/officeDocument/2006/relationships/hyperlink" Target="https://login.consultant.ru/link/?req=doc&amp;demo=2&amp;base=LAW&amp;n=202325&amp;dst=100091&amp;field=134&amp;date=26.06.2022" TargetMode="External"/><Relationship Id="rId93" Type="http://schemas.openxmlformats.org/officeDocument/2006/relationships/hyperlink" Target="https://login.consultant.ru/link/?req=doc&amp;demo=2&amp;base=LAW&amp;n=374630&amp;date=26.06.2022" TargetMode="External"/><Relationship Id="rId94" Type="http://schemas.openxmlformats.org/officeDocument/2006/relationships/hyperlink" Target="https://login.consultant.ru/link/?req=doc&amp;demo=2&amp;base=LAW&amp;n=380195&amp;date=26.06.2022" TargetMode="External"/><Relationship Id="rId95" Type="http://schemas.openxmlformats.org/officeDocument/2006/relationships/hyperlink" Target="https://login.consultant.ru/link/?req=doc&amp;demo=2&amp;base=LAW&amp;n=380200&amp;date=26.06.2022" TargetMode="External"/><Relationship Id="rId96" Type="http://schemas.openxmlformats.org/officeDocument/2006/relationships/hyperlink" Target="https://login.consultant.ru/link/?req=doc&amp;demo=2&amp;base=LAW&amp;n=380200&amp;date=26.06.2022" TargetMode="External"/><Relationship Id="rId97" Type="http://schemas.openxmlformats.org/officeDocument/2006/relationships/hyperlink" Target="https://login.consultant.ru/link/?req=doc&amp;demo=2&amp;base=LAW&amp;n=380195&amp;date=26.06.2022" TargetMode="External"/><Relationship Id="rId98" Type="http://schemas.openxmlformats.org/officeDocument/2006/relationships/hyperlink" Target="https://login.consultant.ru/link/?req=doc&amp;demo=2&amp;base=LAW&amp;n=380200&amp;dst=100067&amp;field=134&amp;date=26.06.2022" TargetMode="External"/><Relationship Id="rId99" Type="http://schemas.openxmlformats.org/officeDocument/2006/relationships/hyperlink" Target="https://login.consultant.ru/link/?req=doc&amp;demo=2&amp;base=LAW&amp;n=380200&amp;dst=100080&amp;field=134&amp;date=26.06.2022" TargetMode="External"/><Relationship Id="rId100" Type="http://schemas.openxmlformats.org/officeDocument/2006/relationships/hyperlink" Target="https://login.consultant.ru/link/?req=doc&amp;demo=2&amp;base=LAW&amp;n=202743&amp;date=26.06.2022" TargetMode="External"/><Relationship Id="rId101" Type="http://schemas.openxmlformats.org/officeDocument/2006/relationships/hyperlink" Target="https://login.consultant.ru/link/?req=doc&amp;demo=2&amp;base=LAW&amp;n=202743&amp;dst=100184&amp;field=134&amp;date=26.06.2022" TargetMode="External"/><Relationship Id="rId102" Type="http://schemas.openxmlformats.org/officeDocument/2006/relationships/hyperlink" Target="https://login.consultant.ru/link/?req=doc&amp;demo=2&amp;base=LAW&amp;n=209457&amp;date=26.06.2022" TargetMode="External"/><Relationship Id="rId103" Type="http://schemas.openxmlformats.org/officeDocument/2006/relationships/hyperlink" Target="https://login.consultant.ru/link/?req=doc&amp;demo=2&amp;base=LAW&amp;n=380195&amp;date=26.06.2022" TargetMode="External"/><Relationship Id="rId104" Type="http://schemas.openxmlformats.org/officeDocument/2006/relationships/hyperlink" Target="https://login.consultant.ru/link/?req=doc&amp;demo=2&amp;base=LAW&amp;n=365733&amp;date=26.06.2022" TargetMode="External"/><Relationship Id="rId105" Type="http://schemas.openxmlformats.org/officeDocument/2006/relationships/hyperlink" Target="https://login.consultant.ru/link/?req=doc&amp;demo=2&amp;base=LAW&amp;n=365734&amp;date=26.06.2022" TargetMode="External"/><Relationship Id="rId106" Type="http://schemas.openxmlformats.org/officeDocument/2006/relationships/hyperlink" Target="https://login.consultant.ru/link/?req=doc&amp;demo=2&amp;base=LAW&amp;n=202325&amp;dst=100091&amp;field=134&amp;date=26.06.2022" TargetMode="External"/><Relationship Id="rId107" Type="http://schemas.openxmlformats.org/officeDocument/2006/relationships/hyperlink" Target="https://login.consultant.ru/link/?req=doc&amp;demo=2&amp;base=LAW&amp;n=374630&amp;date=26.06.2022" TargetMode="External"/><Relationship Id="rId108" Type="http://schemas.openxmlformats.org/officeDocument/2006/relationships/hyperlink" Target="https://login.consultant.ru/link/?req=doc&amp;demo=2&amp;base=LAW&amp;n=380195&amp;date=26.06.2022" TargetMode="External"/><Relationship Id="rId109" Type="http://schemas.openxmlformats.org/officeDocument/2006/relationships/hyperlink" Target="https://login.consultant.ru/link/?req=doc&amp;demo=2&amp;base=LAW&amp;n=380200&amp;date=26.06.2022" TargetMode="External"/><Relationship Id="rId110" Type="http://schemas.openxmlformats.org/officeDocument/2006/relationships/hyperlink" Target="https://login.consultant.ru/link/?req=doc&amp;demo=2&amp;base=LAW&amp;n=380200&amp;date=26.06.2022" TargetMode="External"/><Relationship Id="rId111" Type="http://schemas.openxmlformats.org/officeDocument/2006/relationships/hyperlink" Target="https://login.consultant.ru/link/?req=doc&amp;demo=2&amp;base=LAW&amp;n=380195&amp;date=26.06.2022" TargetMode="External"/><Relationship Id="rId112" Type="http://schemas.openxmlformats.org/officeDocument/2006/relationships/hyperlink" Target="https://login.consultant.ru/link/?req=doc&amp;demo=2&amp;base=LAW&amp;n=380200&amp;dst=100067&amp;field=134&amp;date=26.06.2022" TargetMode="External"/><Relationship Id="rId113" Type="http://schemas.openxmlformats.org/officeDocument/2006/relationships/hyperlink" Target="https://login.consultant.ru/link/?req=doc&amp;demo=2&amp;base=LAW&amp;n=380200&amp;dst=100080&amp;field=134&amp;date=26.06.2022" TargetMode="External"/><Relationship Id="rId114" Type="http://schemas.openxmlformats.org/officeDocument/2006/relationships/hyperlink" Target="https://login.consultant.ru/link/?req=doc&amp;demo=2&amp;base=LAW&amp;n=202743&amp;date=26.06.2022" TargetMode="External"/><Relationship Id="rId115" Type="http://schemas.openxmlformats.org/officeDocument/2006/relationships/hyperlink" Target="https://login.consultant.ru/link/?req=doc&amp;demo=2&amp;base=LAW&amp;n=202743&amp;dst=100184&amp;field=134&amp;date=26.06.2022" TargetMode="External"/><Relationship Id="rId116" Type="http://schemas.openxmlformats.org/officeDocument/2006/relationships/hyperlink" Target="https://login.consultant.ru/link/?req=doc&amp;demo=2&amp;base=LAW&amp;n=209457&amp;date=26.06.2022" TargetMode="External"/><Relationship Id="rId117" Type="http://schemas.openxmlformats.org/officeDocument/2006/relationships/hyperlink" Target="https://login.consultant.ru/link/?req=doc&amp;demo=2&amp;base=LAW&amp;n=380195&amp;date=26.06.2022" TargetMode="External"/><Relationship Id="rId118" Type="http://schemas.openxmlformats.org/officeDocument/2006/relationships/hyperlink" Target="https://login.consultant.ru/link/?req=doc&amp;demo=2&amp;base=LAW&amp;n=365733&amp;date=26.06.202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524DF-3E28-445D-9722-CC017A8E2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>SROAAS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Носова</dc:creator>
  <cp:keywords/>
  <dc:description/>
  <cp:lastModifiedBy>Анастасия Лисицына</cp:lastModifiedBy>
  <cp:revision>159</cp:revision>
  <dcterms:created xsi:type="dcterms:W3CDTF">2024-07-12T12:53:00Z</dcterms:created>
  <dcterms:modified xsi:type="dcterms:W3CDTF">2026-05-28T09:35:04Z</dcterms:modified>
</cp:coreProperties>
</file>